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BAF86">
      <w:pPr>
        <w:adjustRightInd w:val="0"/>
        <w:snapToGrid w:val="0"/>
        <w:spacing w:beforeLines="20" w:afterLines="20" w:line="540" w:lineRule="exact"/>
        <w:rPr>
          <w:rFonts w:hint="eastAsia" w:ascii="仿宋_GB2312" w:hAnsi="宋体" w:eastAsia="仿宋_GB2312"/>
          <w:b/>
          <w:color w:val="000000"/>
          <w:sz w:val="36"/>
          <w:szCs w:val="36"/>
        </w:rPr>
      </w:pPr>
    </w:p>
    <w:p w14:paraId="3D742CC1">
      <w:pPr>
        <w:adjustRightInd w:val="0"/>
        <w:snapToGrid w:val="0"/>
        <w:spacing w:beforeLines="20" w:afterLines="20" w:line="540" w:lineRule="exact"/>
        <w:ind w:hanging="1"/>
        <w:jc w:val="center"/>
        <w:rPr>
          <w:rFonts w:hint="eastAsia" w:ascii="仿宋_GB2312" w:hAnsi="宋体" w:eastAsia="仿宋_GB2312"/>
          <w:b/>
          <w:color w:val="000000"/>
          <w:sz w:val="36"/>
          <w:szCs w:val="36"/>
          <w:lang w:val="en-US" w:eastAsia="zh-CN"/>
        </w:rPr>
      </w:pPr>
      <w:r>
        <w:rPr>
          <w:rFonts w:hint="eastAsia" w:ascii="仿宋_GB2312" w:hAnsi="宋体" w:eastAsia="仿宋_GB2312"/>
          <w:b/>
          <w:color w:val="000000"/>
          <w:sz w:val="36"/>
          <w:szCs w:val="36"/>
        </w:rPr>
        <w:t>嘉兴八佰伴</w:t>
      </w:r>
      <w:r>
        <w:rPr>
          <w:rFonts w:hint="eastAsia" w:ascii="仿宋_GB2312" w:hAnsi="宋体" w:eastAsia="仿宋_GB2312"/>
          <w:b/>
          <w:color w:val="000000"/>
          <w:sz w:val="36"/>
          <w:szCs w:val="36"/>
          <w:lang w:val="en-US" w:eastAsia="zh-CN"/>
        </w:rPr>
        <w:t>7</w:t>
      </w:r>
      <w:r>
        <w:rPr>
          <w:rFonts w:hint="eastAsia" w:ascii="仿宋_GB2312" w:hAnsi="宋体" w:eastAsia="仿宋_GB2312"/>
          <w:b/>
          <w:color w:val="000000"/>
          <w:sz w:val="36"/>
          <w:szCs w:val="36"/>
        </w:rPr>
        <w:t>F</w:t>
      </w:r>
      <w:r>
        <w:rPr>
          <w:rFonts w:hint="eastAsia" w:ascii="仿宋_GB2312" w:hAnsi="宋体" w:eastAsia="仿宋_GB2312"/>
          <w:b/>
          <w:color w:val="000000"/>
          <w:sz w:val="36"/>
          <w:szCs w:val="36"/>
          <w:lang w:val="en-US" w:eastAsia="zh-CN"/>
        </w:rPr>
        <w:t>星伦多</w:t>
      </w:r>
      <w:r>
        <w:rPr>
          <w:rFonts w:hint="eastAsia" w:ascii="仿宋_GB2312" w:hAnsi="宋体" w:eastAsia="仿宋_GB2312"/>
          <w:b/>
          <w:color w:val="000000"/>
          <w:sz w:val="36"/>
          <w:szCs w:val="36"/>
        </w:rPr>
        <w:t>拆除</w:t>
      </w:r>
      <w:r>
        <w:rPr>
          <w:rFonts w:hint="eastAsia" w:ascii="仿宋_GB2312" w:hAnsi="宋体" w:eastAsia="仿宋_GB2312"/>
          <w:b/>
          <w:color w:val="000000"/>
          <w:sz w:val="36"/>
          <w:szCs w:val="36"/>
          <w:lang w:val="en-US" w:eastAsia="zh-CN"/>
        </w:rPr>
        <w:t>及围挡搭建</w:t>
      </w:r>
      <w:r>
        <w:rPr>
          <w:rFonts w:hint="eastAsia" w:ascii="仿宋_GB2312" w:hAnsi="宋体" w:eastAsia="仿宋_GB2312"/>
          <w:b/>
          <w:color w:val="000000"/>
          <w:sz w:val="36"/>
          <w:szCs w:val="36"/>
        </w:rPr>
        <w:t>工程</w:t>
      </w:r>
      <w:r>
        <w:rPr>
          <w:rFonts w:hint="eastAsia" w:ascii="仿宋_GB2312" w:hAnsi="宋体" w:eastAsia="仿宋_GB2312"/>
          <w:b/>
          <w:color w:val="000000"/>
          <w:sz w:val="36"/>
          <w:szCs w:val="36"/>
          <w:lang w:val="en-US" w:eastAsia="zh-CN"/>
        </w:rPr>
        <w:t>项目</w:t>
      </w:r>
    </w:p>
    <w:p w14:paraId="737F08B5">
      <w:pPr>
        <w:spacing w:line="560" w:lineRule="exact"/>
        <w:ind w:right="560" w:hanging="1"/>
        <w:jc w:val="center"/>
        <w:rPr>
          <w:rFonts w:hint="eastAsia" w:ascii="仿宋_GB2312" w:hAnsi="宋体" w:eastAsia="仿宋_GB2312"/>
          <w:b/>
          <w:color w:val="000000"/>
          <w:sz w:val="36"/>
          <w:szCs w:val="36"/>
          <w:u w:val="single"/>
        </w:rPr>
      </w:pPr>
    </w:p>
    <w:p w14:paraId="1C7C34E3">
      <w:pPr>
        <w:adjustRightInd w:val="0"/>
        <w:snapToGrid w:val="0"/>
        <w:spacing w:beforeLines="20" w:afterLines="20" w:line="1100" w:lineRule="exact"/>
        <w:ind w:hanging="1"/>
        <w:jc w:val="center"/>
        <w:rPr>
          <w:rFonts w:hint="eastAsia" w:ascii="仿宋_GB2312" w:hAnsi="宋体" w:eastAsia="仿宋_GB2312"/>
          <w:b/>
          <w:color w:val="000000"/>
          <w:sz w:val="36"/>
          <w:szCs w:val="36"/>
        </w:rPr>
      </w:pPr>
    </w:p>
    <w:p w14:paraId="48F83EE5">
      <w:pPr>
        <w:adjustRightInd w:val="0"/>
        <w:snapToGrid w:val="0"/>
        <w:spacing w:beforeLines="20" w:afterLines="20" w:line="1100" w:lineRule="exact"/>
        <w:ind w:hanging="1"/>
        <w:jc w:val="center"/>
        <w:rPr>
          <w:rFonts w:hint="eastAsia" w:ascii="仿宋_GB2312" w:hAnsi="宋体" w:eastAsia="仿宋_GB2312"/>
          <w:b/>
          <w:color w:val="000000"/>
          <w:sz w:val="48"/>
          <w:szCs w:val="48"/>
        </w:rPr>
      </w:pPr>
      <w:r>
        <w:rPr>
          <w:rFonts w:hint="eastAsia" w:ascii="仿宋_GB2312" w:hAnsi="宋体" w:eastAsia="仿宋_GB2312"/>
          <w:b/>
          <w:color w:val="000000"/>
          <w:sz w:val="48"/>
          <w:szCs w:val="48"/>
        </w:rPr>
        <w:t>招</w:t>
      </w:r>
    </w:p>
    <w:p w14:paraId="19798A13">
      <w:pPr>
        <w:adjustRightInd w:val="0"/>
        <w:snapToGrid w:val="0"/>
        <w:spacing w:beforeLines="20" w:afterLines="20" w:line="1100" w:lineRule="exact"/>
        <w:ind w:hanging="1"/>
        <w:jc w:val="center"/>
        <w:rPr>
          <w:rFonts w:hint="eastAsia" w:ascii="仿宋_GB2312" w:hAnsi="宋体" w:eastAsia="仿宋_GB2312"/>
          <w:b/>
          <w:color w:val="000000"/>
          <w:sz w:val="48"/>
          <w:szCs w:val="48"/>
        </w:rPr>
      </w:pPr>
      <w:r>
        <w:rPr>
          <w:rFonts w:hint="eastAsia" w:ascii="仿宋_GB2312" w:hAnsi="宋体" w:eastAsia="仿宋_GB2312"/>
          <w:b/>
          <w:color w:val="000000"/>
          <w:sz w:val="48"/>
          <w:szCs w:val="48"/>
        </w:rPr>
        <w:t>标</w:t>
      </w:r>
    </w:p>
    <w:p w14:paraId="08B97137">
      <w:pPr>
        <w:adjustRightInd w:val="0"/>
        <w:snapToGrid w:val="0"/>
        <w:spacing w:beforeLines="20" w:afterLines="20" w:line="1100" w:lineRule="exact"/>
        <w:ind w:hanging="1"/>
        <w:jc w:val="center"/>
        <w:rPr>
          <w:rFonts w:hint="eastAsia" w:ascii="仿宋_GB2312" w:hAnsi="宋体" w:eastAsia="仿宋_GB2312"/>
          <w:b/>
          <w:color w:val="000000"/>
          <w:sz w:val="48"/>
          <w:szCs w:val="48"/>
        </w:rPr>
      </w:pPr>
      <w:r>
        <w:rPr>
          <w:rFonts w:hint="eastAsia" w:ascii="仿宋_GB2312" w:hAnsi="宋体" w:eastAsia="仿宋_GB2312"/>
          <w:b/>
          <w:color w:val="000000"/>
          <w:sz w:val="48"/>
          <w:szCs w:val="48"/>
        </w:rPr>
        <w:t>文</w:t>
      </w:r>
    </w:p>
    <w:p w14:paraId="5BFFC35D">
      <w:pPr>
        <w:adjustRightInd w:val="0"/>
        <w:snapToGrid w:val="0"/>
        <w:spacing w:beforeLines="20" w:afterLines="20" w:line="1100" w:lineRule="exact"/>
        <w:ind w:hanging="1"/>
        <w:jc w:val="center"/>
        <w:rPr>
          <w:rFonts w:hint="eastAsia" w:ascii="仿宋_GB2312" w:hAnsi="宋体" w:eastAsia="仿宋_GB2312"/>
          <w:b/>
          <w:color w:val="000000"/>
          <w:sz w:val="48"/>
          <w:szCs w:val="48"/>
        </w:rPr>
      </w:pPr>
      <w:r>
        <w:rPr>
          <w:rFonts w:hint="eastAsia" w:ascii="仿宋_GB2312" w:hAnsi="宋体" w:eastAsia="仿宋_GB2312"/>
          <w:b/>
          <w:color w:val="000000"/>
          <w:sz w:val="48"/>
          <w:szCs w:val="48"/>
        </w:rPr>
        <w:t>件</w:t>
      </w:r>
    </w:p>
    <w:p w14:paraId="716E1D5E">
      <w:pPr>
        <w:adjustRightInd w:val="0"/>
        <w:snapToGrid w:val="0"/>
        <w:spacing w:beforeLines="20" w:afterLines="20" w:line="1100" w:lineRule="exact"/>
        <w:ind w:hanging="1"/>
        <w:jc w:val="center"/>
        <w:rPr>
          <w:rFonts w:hint="eastAsia" w:ascii="仿宋_GB2312" w:hAnsi="宋体" w:eastAsia="仿宋_GB2312"/>
          <w:b/>
          <w:color w:val="000000"/>
          <w:sz w:val="36"/>
          <w:szCs w:val="36"/>
        </w:rPr>
      </w:pPr>
    </w:p>
    <w:p w14:paraId="1353FB8C">
      <w:pPr>
        <w:adjustRightInd w:val="0"/>
        <w:snapToGrid w:val="0"/>
        <w:spacing w:beforeLines="20" w:afterLines="20" w:line="1100" w:lineRule="exact"/>
        <w:ind w:hanging="1"/>
        <w:jc w:val="center"/>
        <w:rPr>
          <w:rFonts w:hint="eastAsia" w:ascii="仿宋_GB2312" w:hAnsi="宋体" w:eastAsia="仿宋_GB2312"/>
          <w:b/>
          <w:color w:val="000000"/>
          <w:sz w:val="36"/>
          <w:szCs w:val="36"/>
        </w:rPr>
      </w:pPr>
    </w:p>
    <w:p w14:paraId="22830A5A">
      <w:pPr>
        <w:adjustRightInd w:val="0"/>
        <w:snapToGrid w:val="0"/>
        <w:spacing w:beforeLines="20" w:afterLines="20" w:line="540" w:lineRule="exact"/>
        <w:ind w:hanging="1"/>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招 标 人：嘉兴八佰伴商业管理有限公司</w:t>
      </w:r>
    </w:p>
    <w:p w14:paraId="7FF26DDE">
      <w:pPr>
        <w:pStyle w:val="4"/>
        <w:adjustRightInd w:val="0"/>
        <w:snapToGrid w:val="0"/>
        <w:spacing w:beforeLines="20" w:afterLines="20" w:line="540" w:lineRule="exact"/>
        <w:ind w:firstLine="1084" w:firstLineChars="300"/>
        <w:jc w:val="both"/>
        <w:rPr>
          <w:rFonts w:hint="eastAsia" w:ascii="仿宋_GB2312" w:hAnsi="宋体" w:eastAsia="仿宋_GB2312"/>
          <w:b/>
          <w:color w:val="000000"/>
          <w:sz w:val="36"/>
          <w:szCs w:val="36"/>
          <w:lang w:val="en-US" w:eastAsia="zh-CN"/>
        </w:rPr>
      </w:pPr>
      <w:r>
        <w:rPr>
          <w:rFonts w:hint="eastAsia" w:ascii="仿宋_GB2312" w:hAnsi="宋体" w:eastAsia="仿宋_GB2312"/>
          <w:b/>
          <w:color w:val="000000"/>
          <w:sz w:val="36"/>
          <w:szCs w:val="36"/>
        </w:rPr>
        <w:t>招标时间：二○</w:t>
      </w:r>
      <w:r>
        <w:rPr>
          <w:rFonts w:hint="eastAsia" w:ascii="仿宋_GB2312" w:hAnsi="宋体" w:eastAsia="仿宋_GB2312"/>
          <w:b/>
          <w:color w:val="000000"/>
          <w:sz w:val="36"/>
          <w:szCs w:val="36"/>
          <w:lang w:val="en-US" w:eastAsia="zh-CN"/>
        </w:rPr>
        <w:t>二六</w:t>
      </w:r>
      <w:r>
        <w:rPr>
          <w:rFonts w:hint="eastAsia" w:ascii="仿宋_GB2312" w:hAnsi="宋体" w:eastAsia="仿宋_GB2312"/>
          <w:b/>
          <w:color w:val="000000"/>
          <w:sz w:val="36"/>
          <w:szCs w:val="36"/>
          <w:lang w:eastAsia="zh-CN"/>
        </w:rPr>
        <w:t>年</w:t>
      </w:r>
      <w:r>
        <w:rPr>
          <w:rFonts w:hint="eastAsia" w:ascii="仿宋_GB2312" w:hAnsi="宋体" w:eastAsia="仿宋_GB2312"/>
          <w:b/>
          <w:color w:val="000000"/>
          <w:sz w:val="36"/>
          <w:szCs w:val="36"/>
          <w:lang w:val="en-US" w:eastAsia="zh-CN"/>
        </w:rPr>
        <w:t xml:space="preserve"> 七</w:t>
      </w:r>
      <w:r>
        <w:rPr>
          <w:rFonts w:hint="eastAsia" w:ascii="仿宋_GB2312" w:hAnsi="宋体" w:eastAsia="仿宋_GB2312"/>
          <w:b/>
          <w:color w:val="000000"/>
          <w:sz w:val="36"/>
          <w:szCs w:val="36"/>
          <w:lang w:eastAsia="zh-CN"/>
        </w:rPr>
        <w:t>月</w:t>
      </w:r>
    </w:p>
    <w:p w14:paraId="60980B53">
      <w:pPr>
        <w:adjustRightInd w:val="0"/>
        <w:snapToGrid w:val="0"/>
        <w:spacing w:beforeLines="20" w:afterLines="20" w:line="540" w:lineRule="exact"/>
        <w:ind w:hanging="1"/>
        <w:jc w:val="center"/>
        <w:rPr>
          <w:rFonts w:hint="eastAsia" w:ascii="仿宋_GB2312" w:hAnsi="宋体" w:eastAsia="仿宋_GB2312"/>
          <w:b/>
          <w:color w:val="000000"/>
          <w:sz w:val="32"/>
          <w:szCs w:val="32"/>
        </w:rPr>
      </w:pPr>
    </w:p>
    <w:p w14:paraId="04122419">
      <w:pPr>
        <w:pStyle w:val="3"/>
        <w:spacing w:line="280" w:lineRule="exact"/>
        <w:jc w:val="center"/>
        <w:rPr>
          <w:rFonts w:hint="eastAsia" w:ascii="宋体" w:hAnsi="宋体"/>
          <w:sz w:val="24"/>
          <w:szCs w:val="24"/>
        </w:rPr>
      </w:pPr>
      <w:r>
        <w:rPr>
          <w:rFonts w:hint="eastAsia" w:ascii="仿宋_GB2312" w:eastAsia="仿宋_GB2312"/>
          <w:b w:val="0"/>
          <w:bCs w:val="0"/>
          <w:color w:val="000000"/>
          <w:kern w:val="0"/>
          <w:sz w:val="24"/>
        </w:rPr>
        <w:br w:type="page"/>
      </w:r>
      <w:bookmarkStart w:id="0" w:name="_Toc268095264"/>
      <w:r>
        <w:rPr>
          <w:rFonts w:hint="eastAsia" w:ascii="宋体" w:hAnsi="宋体"/>
          <w:sz w:val="24"/>
          <w:szCs w:val="24"/>
        </w:rPr>
        <w:t>招标要求明细表</w:t>
      </w:r>
      <w:bookmarkEnd w:id="0"/>
    </w:p>
    <w:tbl>
      <w:tblPr>
        <w:tblStyle w:val="5"/>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694"/>
      </w:tblGrid>
      <w:tr w14:paraId="387A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34" w:type="dxa"/>
            <w:vAlign w:val="center"/>
          </w:tcPr>
          <w:p w14:paraId="3D73F9A7">
            <w:pPr>
              <w:spacing w:line="280" w:lineRule="exact"/>
              <w:jc w:val="center"/>
              <w:rPr>
                <w:rFonts w:hint="eastAsia" w:ascii="宋体" w:hAnsi="宋体"/>
                <w:szCs w:val="21"/>
              </w:rPr>
            </w:pPr>
            <w:r>
              <w:rPr>
                <w:rFonts w:hint="eastAsia" w:ascii="宋体" w:hAnsi="宋体"/>
                <w:szCs w:val="21"/>
              </w:rPr>
              <w:t>条款号</w:t>
            </w:r>
          </w:p>
        </w:tc>
        <w:tc>
          <w:tcPr>
            <w:tcW w:w="8694" w:type="dxa"/>
            <w:vAlign w:val="center"/>
          </w:tcPr>
          <w:p w14:paraId="4300B02E">
            <w:pPr>
              <w:spacing w:line="280" w:lineRule="exact"/>
              <w:jc w:val="center"/>
              <w:rPr>
                <w:rFonts w:hint="eastAsia" w:ascii="宋体" w:hAnsi="宋体"/>
                <w:szCs w:val="21"/>
              </w:rPr>
            </w:pPr>
            <w:r>
              <w:rPr>
                <w:rFonts w:hint="eastAsia" w:ascii="宋体" w:hAnsi="宋体"/>
                <w:szCs w:val="21"/>
              </w:rPr>
              <w:t xml:space="preserve">内      容 </w:t>
            </w:r>
          </w:p>
        </w:tc>
      </w:tr>
      <w:tr w14:paraId="49B8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34" w:type="dxa"/>
            <w:vAlign w:val="center"/>
          </w:tcPr>
          <w:p w14:paraId="4B6DD871">
            <w:pPr>
              <w:spacing w:line="280" w:lineRule="exact"/>
              <w:jc w:val="center"/>
              <w:rPr>
                <w:rFonts w:hint="eastAsia" w:ascii="宋体" w:hAnsi="宋体"/>
                <w:szCs w:val="21"/>
              </w:rPr>
            </w:pPr>
            <w:r>
              <w:rPr>
                <w:rFonts w:hint="eastAsia" w:ascii="宋体" w:hAnsi="宋体"/>
                <w:szCs w:val="21"/>
              </w:rPr>
              <w:t>1.1</w:t>
            </w:r>
          </w:p>
        </w:tc>
        <w:tc>
          <w:tcPr>
            <w:tcW w:w="8694" w:type="dxa"/>
            <w:vAlign w:val="center"/>
          </w:tcPr>
          <w:p w14:paraId="01B3C935">
            <w:pPr>
              <w:adjustRightInd w:val="0"/>
              <w:snapToGrid w:val="0"/>
              <w:spacing w:beforeLines="20" w:afterLines="20" w:line="540" w:lineRule="exact"/>
              <w:ind w:hanging="1"/>
              <w:jc w:val="left"/>
              <w:rPr>
                <w:rFonts w:ascii="宋体" w:hAnsi="宋体"/>
                <w:color w:val="000000"/>
                <w:szCs w:val="21"/>
              </w:rPr>
            </w:pPr>
            <w:r>
              <w:rPr>
                <w:rFonts w:hint="eastAsia" w:ascii="宋体" w:hAnsi="宋体"/>
                <w:szCs w:val="21"/>
              </w:rPr>
              <w:t>招标事项：嘉兴八佰伴</w:t>
            </w:r>
            <w:r>
              <w:rPr>
                <w:rFonts w:hint="eastAsia" w:ascii="宋体" w:hAnsi="宋体"/>
                <w:szCs w:val="21"/>
                <w:lang w:val="en-US" w:eastAsia="zh-CN"/>
              </w:rPr>
              <w:t>7F星伦多</w:t>
            </w:r>
            <w:r>
              <w:rPr>
                <w:rFonts w:hint="eastAsia" w:ascii="宋体" w:hAnsi="宋体"/>
                <w:szCs w:val="21"/>
              </w:rPr>
              <w:t>拆除</w:t>
            </w:r>
            <w:r>
              <w:rPr>
                <w:rFonts w:hint="eastAsia" w:ascii="宋体" w:hAnsi="宋体"/>
                <w:szCs w:val="21"/>
                <w:lang w:val="en-US" w:eastAsia="zh-CN"/>
              </w:rPr>
              <w:t>及围挡搭建</w:t>
            </w:r>
            <w:r>
              <w:rPr>
                <w:rFonts w:hint="eastAsia" w:ascii="宋体" w:hAnsi="宋体"/>
                <w:szCs w:val="21"/>
              </w:rPr>
              <w:t>工程</w:t>
            </w:r>
            <w:r>
              <w:rPr>
                <w:rFonts w:hint="eastAsia" w:ascii="宋体" w:hAnsi="宋体"/>
                <w:color w:val="000000"/>
                <w:szCs w:val="21"/>
              </w:rPr>
              <w:t>项目</w:t>
            </w:r>
          </w:p>
          <w:p w14:paraId="4A659719">
            <w:pPr>
              <w:spacing w:line="280" w:lineRule="exact"/>
              <w:rPr>
                <w:rFonts w:hint="eastAsia" w:ascii="宋体" w:hAnsi="宋体"/>
                <w:szCs w:val="21"/>
              </w:rPr>
            </w:pPr>
          </w:p>
        </w:tc>
      </w:tr>
      <w:tr w14:paraId="4DAE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34" w:type="dxa"/>
            <w:vAlign w:val="center"/>
          </w:tcPr>
          <w:p w14:paraId="6A4F5F2F">
            <w:pPr>
              <w:spacing w:line="280" w:lineRule="exact"/>
              <w:jc w:val="center"/>
              <w:rPr>
                <w:rFonts w:hint="eastAsia" w:ascii="宋体" w:hAnsi="宋体"/>
                <w:szCs w:val="21"/>
              </w:rPr>
            </w:pPr>
            <w:r>
              <w:rPr>
                <w:rFonts w:hint="eastAsia" w:ascii="宋体" w:hAnsi="宋体"/>
                <w:szCs w:val="21"/>
              </w:rPr>
              <w:t>1.2</w:t>
            </w:r>
          </w:p>
        </w:tc>
        <w:tc>
          <w:tcPr>
            <w:tcW w:w="8694" w:type="dxa"/>
            <w:vAlign w:val="center"/>
          </w:tcPr>
          <w:p w14:paraId="540528E6">
            <w:pPr>
              <w:spacing w:line="280" w:lineRule="exact"/>
              <w:rPr>
                <w:rFonts w:hint="eastAsia" w:ascii="宋体" w:hAnsi="宋体"/>
                <w:szCs w:val="21"/>
              </w:rPr>
            </w:pPr>
            <w:r>
              <w:rPr>
                <w:rFonts w:hint="eastAsia" w:ascii="宋体" w:hAnsi="宋体"/>
                <w:szCs w:val="21"/>
              </w:rPr>
              <w:t>招标范围：  详见招标清单</w:t>
            </w:r>
          </w:p>
        </w:tc>
      </w:tr>
      <w:tr w14:paraId="130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jc w:val="center"/>
        </w:trPr>
        <w:tc>
          <w:tcPr>
            <w:tcW w:w="1134" w:type="dxa"/>
            <w:vAlign w:val="center"/>
          </w:tcPr>
          <w:p w14:paraId="75D4E235">
            <w:pPr>
              <w:spacing w:line="280" w:lineRule="exact"/>
              <w:jc w:val="center"/>
              <w:rPr>
                <w:rFonts w:hint="eastAsia" w:ascii="宋体" w:hAnsi="宋体"/>
                <w:szCs w:val="21"/>
              </w:rPr>
            </w:pPr>
            <w:r>
              <w:rPr>
                <w:rFonts w:hint="eastAsia" w:ascii="宋体" w:hAnsi="宋体"/>
                <w:szCs w:val="21"/>
              </w:rPr>
              <w:t>2.1</w:t>
            </w:r>
          </w:p>
        </w:tc>
        <w:tc>
          <w:tcPr>
            <w:tcW w:w="8694" w:type="dxa"/>
            <w:vAlign w:val="center"/>
          </w:tcPr>
          <w:p w14:paraId="22B6EB69">
            <w:pPr>
              <w:spacing w:line="360" w:lineRule="auto"/>
              <w:rPr>
                <w:rFonts w:hint="eastAsia" w:ascii="宋体" w:hAnsi="宋体"/>
                <w:szCs w:val="21"/>
              </w:rPr>
            </w:pPr>
            <w:r>
              <w:rPr>
                <w:rFonts w:hint="eastAsia" w:ascii="宋体" w:hAnsi="宋体"/>
                <w:szCs w:val="21"/>
              </w:rPr>
              <w:t>资格条件：</w:t>
            </w:r>
          </w:p>
          <w:p w14:paraId="65C1634B">
            <w:pPr>
              <w:spacing w:line="360" w:lineRule="auto"/>
              <w:rPr>
                <w:rFonts w:hint="eastAsia"/>
                <w:szCs w:val="21"/>
                <w:lang w:val="en-US" w:eastAsia="zh-CN"/>
              </w:rPr>
            </w:pPr>
            <w:r>
              <w:rPr>
                <w:rFonts w:hint="eastAsia" w:ascii="宋体" w:hAnsi="宋体"/>
                <w:szCs w:val="21"/>
                <w:lang w:val="en-US" w:eastAsia="zh-CN"/>
              </w:rPr>
              <w:t>1、</w:t>
            </w:r>
            <w:r>
              <w:rPr>
                <w:rFonts w:hint="eastAsia" w:ascii="宋体" w:hAnsi="宋体"/>
                <w:szCs w:val="21"/>
              </w:rPr>
              <w:t>具备其独立经营法人资质，</w:t>
            </w:r>
            <w:r>
              <w:rPr>
                <w:rFonts w:hint="eastAsia"/>
                <w:szCs w:val="21"/>
                <w:lang w:val="en-US" w:eastAsia="zh-CN"/>
              </w:rPr>
              <w:t xml:space="preserve">有效的营业执照(法律法规允许经营的业务范围，包含:具体业务范围等) ；   </w:t>
            </w:r>
          </w:p>
          <w:p w14:paraId="26E40458">
            <w:pPr>
              <w:numPr>
                <w:ilvl w:val="0"/>
                <w:numId w:val="1"/>
              </w:numPr>
              <w:spacing w:line="360" w:lineRule="auto"/>
              <w:ind w:left="0" w:leftChars="0" w:firstLine="0" w:firstLineChars="0"/>
              <w:rPr>
                <w:rFonts w:hint="eastAsia"/>
                <w:szCs w:val="21"/>
                <w:lang w:val="en-US" w:eastAsia="zh-CN"/>
              </w:rPr>
            </w:pPr>
            <w:r>
              <w:rPr>
                <w:rFonts w:hint="eastAsia"/>
                <w:szCs w:val="21"/>
                <w:lang w:val="en-US" w:eastAsia="zh-CN"/>
              </w:rPr>
              <w:t xml:space="preserve">注册资金不少于 （     ） 万元，近一年增资至（       ） 万(含)以上无效；平均年营业额：过去近三年的平均年营业额度不少于（    ）万元；     </w:t>
            </w:r>
          </w:p>
          <w:p w14:paraId="10E1FB71">
            <w:pPr>
              <w:numPr>
                <w:ilvl w:val="0"/>
                <w:numId w:val="1"/>
              </w:numPr>
              <w:spacing w:line="360" w:lineRule="auto"/>
              <w:ind w:left="0" w:leftChars="0" w:firstLine="0" w:firstLineChars="0"/>
              <w:rPr>
                <w:rFonts w:hint="eastAsia"/>
                <w:szCs w:val="21"/>
                <w:lang w:val="en-US" w:eastAsia="zh-CN"/>
              </w:rPr>
            </w:pPr>
            <w:r>
              <w:rPr>
                <w:rFonts w:hint="eastAsia"/>
                <w:szCs w:val="21"/>
                <w:lang w:val="en-US" w:eastAsia="zh-CN"/>
              </w:rPr>
              <w:t xml:space="preserve">类似项目经验：近三年内作为独立中标人成功和实质上完成的单体建筑面积（    ）万平方米以上的大型商业或綜合体(高铁站、机场、医院等)合同至少2个，(正在履约中至少1个)，单个类似项目合同标的额不少于 （      ）万元； </w:t>
            </w:r>
            <w:r>
              <w:rPr>
                <w:rFonts w:hint="eastAsia"/>
                <w:szCs w:val="21"/>
              </w:rPr>
              <w:t>能够提供合法有效的材料类发票</w:t>
            </w:r>
            <w:r>
              <w:rPr>
                <w:rFonts w:hint="eastAsia"/>
                <w:szCs w:val="21"/>
                <w:lang w:eastAsia="zh-CN"/>
              </w:rPr>
              <w:t>；</w:t>
            </w:r>
            <w:r>
              <w:rPr>
                <w:rFonts w:hint="eastAsia"/>
                <w:szCs w:val="21"/>
                <w:lang w:val="en-US" w:eastAsia="zh-CN"/>
              </w:rPr>
              <w:t xml:space="preserve"> </w:t>
            </w:r>
          </w:p>
          <w:p w14:paraId="5BF3BCDF">
            <w:pPr>
              <w:numPr>
                <w:ilvl w:val="0"/>
                <w:numId w:val="1"/>
              </w:numPr>
              <w:spacing w:line="360" w:lineRule="auto"/>
              <w:ind w:left="0" w:leftChars="0" w:firstLine="0" w:firstLineChars="0"/>
              <w:rPr>
                <w:rFonts w:hint="default" w:ascii="宋体" w:hAnsi="宋体" w:eastAsia="宋体"/>
                <w:szCs w:val="21"/>
                <w:lang w:val="en-US" w:eastAsia="zh-CN"/>
              </w:rPr>
            </w:pPr>
            <w:r>
              <w:rPr>
                <w:rFonts w:hint="eastAsia"/>
                <w:szCs w:val="21"/>
                <w:lang w:val="en-US" w:eastAsia="zh-CN"/>
              </w:rPr>
              <w:t>在递交申请文件前3年内无因自身责任导致的其被诉的法律纠纷或诉讼、仲裁(目前没有其被诉的悬而未决的诉讼、仲裁)；</w:t>
            </w:r>
          </w:p>
          <w:p w14:paraId="27104CE9">
            <w:pPr>
              <w:numPr>
                <w:ilvl w:val="0"/>
                <w:numId w:val="1"/>
              </w:numPr>
              <w:spacing w:line="360" w:lineRule="auto"/>
              <w:ind w:left="0" w:leftChars="0" w:firstLine="0" w:firstLineChars="0"/>
              <w:rPr>
                <w:rFonts w:hint="default" w:ascii="宋体" w:hAnsi="宋体" w:eastAsia="宋体"/>
                <w:szCs w:val="21"/>
                <w:lang w:val="en-US" w:eastAsia="zh-CN"/>
              </w:rPr>
            </w:pPr>
            <w:r>
              <w:rPr>
                <w:rFonts w:hint="eastAsia"/>
                <w:szCs w:val="21"/>
                <w:lang w:val="en-US" w:eastAsia="zh-CN"/>
              </w:rPr>
              <w:t xml:space="preserve"> 目前没有其为被执行人的执行程序或被列为失信被执行人 ；</w:t>
            </w:r>
          </w:p>
          <w:p w14:paraId="22B870BE">
            <w:pPr>
              <w:numPr>
                <w:ilvl w:val="0"/>
                <w:numId w:val="1"/>
              </w:numPr>
              <w:spacing w:line="360" w:lineRule="auto"/>
              <w:ind w:left="0" w:leftChars="0" w:firstLine="0" w:firstLineChars="0"/>
              <w:rPr>
                <w:rFonts w:hint="default" w:ascii="宋体" w:hAnsi="宋体" w:eastAsia="宋体"/>
                <w:szCs w:val="21"/>
                <w:lang w:val="en-US" w:eastAsia="zh-CN"/>
              </w:rPr>
            </w:pPr>
            <w:r>
              <w:rPr>
                <w:rFonts w:hint="eastAsia"/>
                <w:szCs w:val="21"/>
                <w:lang w:val="en-US" w:eastAsia="zh-CN"/>
              </w:rPr>
              <w:t xml:space="preserve"> 近三年无严重行政处罚(警告以上)、违法经营 ；</w:t>
            </w:r>
          </w:p>
          <w:p w14:paraId="304FE1E8">
            <w:pPr>
              <w:numPr>
                <w:ilvl w:val="0"/>
                <w:numId w:val="1"/>
              </w:numPr>
              <w:spacing w:line="360" w:lineRule="auto"/>
              <w:ind w:left="0" w:leftChars="0" w:firstLine="0" w:firstLineChars="0"/>
              <w:rPr>
                <w:rFonts w:hint="default" w:ascii="宋体" w:hAnsi="宋体" w:eastAsia="宋体"/>
                <w:szCs w:val="21"/>
                <w:lang w:val="en-US" w:eastAsia="zh-CN"/>
              </w:rPr>
            </w:pPr>
            <w:r>
              <w:rPr>
                <w:rFonts w:hint="eastAsia"/>
                <w:szCs w:val="21"/>
                <w:lang w:val="en-US" w:eastAsia="zh-CN"/>
              </w:rPr>
              <w:t xml:space="preserve"> 近三年无重大不良舆情信息(主流媒体曝光)；</w:t>
            </w:r>
          </w:p>
          <w:p w14:paraId="19E852C6">
            <w:pPr>
              <w:numPr>
                <w:ilvl w:val="0"/>
                <w:numId w:val="1"/>
              </w:numPr>
              <w:spacing w:line="360" w:lineRule="auto"/>
              <w:ind w:left="0" w:leftChars="0" w:firstLine="0" w:firstLineChars="0"/>
              <w:rPr>
                <w:rFonts w:hint="default" w:ascii="宋体" w:hAnsi="宋体" w:eastAsia="宋体"/>
                <w:szCs w:val="21"/>
                <w:lang w:val="en-US" w:eastAsia="zh-CN"/>
              </w:rPr>
            </w:pPr>
            <w:r>
              <w:rPr>
                <w:rFonts w:hint="eastAsia"/>
                <w:szCs w:val="21"/>
                <w:lang w:val="en-US" w:eastAsia="zh-CN"/>
              </w:rPr>
              <w:t xml:space="preserve"> 近三年未发生重大质量、安全事故，出具承诺函； </w:t>
            </w:r>
          </w:p>
          <w:p w14:paraId="1957FB5D">
            <w:pPr>
              <w:numPr>
                <w:ilvl w:val="0"/>
                <w:numId w:val="1"/>
              </w:numPr>
              <w:spacing w:line="360" w:lineRule="auto"/>
              <w:ind w:left="0" w:leftChars="0" w:firstLine="0" w:firstLineChars="0"/>
              <w:rPr>
                <w:rFonts w:hint="default" w:ascii="宋体" w:hAnsi="宋体" w:eastAsia="宋体"/>
                <w:szCs w:val="21"/>
                <w:lang w:val="en-US" w:eastAsia="zh-CN"/>
              </w:rPr>
            </w:pPr>
            <w:r>
              <w:rPr>
                <w:rFonts w:hint="eastAsia"/>
                <w:szCs w:val="21"/>
                <w:lang w:val="en-US" w:eastAsia="zh-CN"/>
              </w:rPr>
              <w:t xml:space="preserve"> 特种行业及特殊企业需具备经营范围或相应资质，提供相应保险（公众责任险保额不低于100万、人身意外意外险保额不低于80万）；   </w:t>
            </w:r>
          </w:p>
          <w:p w14:paraId="581989A5">
            <w:pPr>
              <w:numPr>
                <w:ilvl w:val="0"/>
                <w:numId w:val="1"/>
              </w:numPr>
              <w:spacing w:line="360" w:lineRule="auto"/>
              <w:ind w:left="0" w:leftChars="0" w:firstLine="0" w:firstLineChars="0"/>
              <w:rPr>
                <w:rFonts w:hint="default" w:ascii="宋体" w:hAnsi="宋体" w:eastAsia="宋体"/>
                <w:szCs w:val="21"/>
                <w:lang w:val="en-US" w:eastAsia="zh-CN"/>
              </w:rPr>
            </w:pPr>
            <w:r>
              <w:rPr>
                <w:rFonts w:hint="eastAsia"/>
                <w:szCs w:val="21"/>
                <w:lang w:val="en-US" w:eastAsia="zh-CN"/>
              </w:rPr>
              <w:t xml:space="preserve"> 公司注册地仅限范围江浙沪范围内  。  </w:t>
            </w:r>
          </w:p>
          <w:p w14:paraId="759882E5">
            <w:pPr>
              <w:numPr>
                <w:ilvl w:val="0"/>
                <w:numId w:val="1"/>
              </w:numPr>
              <w:spacing w:line="360" w:lineRule="auto"/>
              <w:ind w:left="0" w:leftChars="0" w:firstLine="0" w:firstLineChars="0"/>
              <w:rPr>
                <w:rFonts w:hint="default" w:ascii="宋体" w:hAnsi="宋体" w:eastAsia="宋体"/>
                <w:szCs w:val="21"/>
                <w:lang w:val="en-US" w:eastAsia="zh-CN"/>
              </w:rPr>
            </w:pPr>
            <w:r>
              <w:rPr>
                <w:rFonts w:hint="eastAsia"/>
                <w:szCs w:val="21"/>
                <w:highlight w:val="yellow"/>
                <w:lang w:val="en-US" w:eastAsia="zh-CN"/>
              </w:rPr>
              <w:t>本次拆除需保留的设备、物品以甲方要求为主。</w:t>
            </w:r>
          </w:p>
          <w:p w14:paraId="24FD0C82">
            <w:pPr>
              <w:numPr>
                <w:ilvl w:val="0"/>
                <w:numId w:val="1"/>
              </w:numPr>
              <w:spacing w:line="360" w:lineRule="auto"/>
              <w:ind w:left="0" w:leftChars="0" w:firstLine="0" w:firstLineChars="0"/>
              <w:rPr>
                <w:rFonts w:hint="default" w:ascii="宋体" w:hAnsi="宋体" w:eastAsia="宋体"/>
                <w:szCs w:val="21"/>
                <w:lang w:val="en-US" w:eastAsia="zh-CN"/>
              </w:rPr>
            </w:pPr>
            <w:r>
              <w:rPr>
                <w:rFonts w:hint="eastAsia"/>
                <w:szCs w:val="21"/>
                <w:highlight w:val="yellow"/>
                <w:lang w:val="en-US" w:eastAsia="zh-CN"/>
              </w:rPr>
              <w:t xml:space="preserve">本次拆除清单仅为可见部分，过程中不再增量，要求实施勘查。  </w:t>
            </w:r>
          </w:p>
        </w:tc>
      </w:tr>
      <w:tr w14:paraId="7BF0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38CAD89B">
            <w:pPr>
              <w:spacing w:line="280" w:lineRule="exact"/>
              <w:jc w:val="center"/>
              <w:rPr>
                <w:rFonts w:hint="eastAsia" w:ascii="宋体" w:hAnsi="宋体"/>
                <w:szCs w:val="21"/>
              </w:rPr>
            </w:pPr>
            <w:r>
              <w:rPr>
                <w:rFonts w:hint="eastAsia" w:ascii="宋体" w:hAnsi="宋体"/>
                <w:szCs w:val="21"/>
              </w:rPr>
              <w:t>2.2</w:t>
            </w:r>
          </w:p>
        </w:tc>
        <w:tc>
          <w:tcPr>
            <w:tcW w:w="8694" w:type="dxa"/>
            <w:vAlign w:val="center"/>
          </w:tcPr>
          <w:p w14:paraId="153FD041">
            <w:pPr>
              <w:spacing w:line="280" w:lineRule="exact"/>
              <w:rPr>
                <w:rFonts w:hint="eastAsia" w:ascii="宋体" w:hAnsi="宋体"/>
                <w:szCs w:val="21"/>
              </w:rPr>
            </w:pPr>
            <w:r>
              <w:rPr>
                <w:rFonts w:hint="eastAsia" w:ascii="宋体" w:hAnsi="宋体"/>
                <w:szCs w:val="21"/>
              </w:rPr>
              <w:t>资格审查方式：开标</w:t>
            </w:r>
            <w:r>
              <w:rPr>
                <w:rFonts w:hint="eastAsia" w:ascii="宋体" w:hAnsi="宋体"/>
                <w:szCs w:val="21"/>
                <w:u w:val="single"/>
              </w:rPr>
              <w:t>预审</w:t>
            </w:r>
            <w:r>
              <w:rPr>
                <w:rFonts w:hint="eastAsia" w:ascii="宋体" w:hAnsi="宋体"/>
                <w:szCs w:val="21"/>
              </w:rPr>
              <w:t>。</w:t>
            </w:r>
          </w:p>
        </w:tc>
      </w:tr>
      <w:tr w14:paraId="6D83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13040896">
            <w:pPr>
              <w:spacing w:line="280" w:lineRule="exact"/>
              <w:jc w:val="center"/>
              <w:rPr>
                <w:rFonts w:hint="eastAsia" w:ascii="宋体" w:hAnsi="宋体"/>
                <w:szCs w:val="21"/>
              </w:rPr>
            </w:pPr>
            <w:r>
              <w:rPr>
                <w:rFonts w:hint="eastAsia" w:ascii="宋体" w:hAnsi="宋体"/>
                <w:szCs w:val="21"/>
              </w:rPr>
              <w:t>3.1</w:t>
            </w:r>
          </w:p>
        </w:tc>
        <w:tc>
          <w:tcPr>
            <w:tcW w:w="8694" w:type="dxa"/>
            <w:vAlign w:val="center"/>
          </w:tcPr>
          <w:p w14:paraId="25CD76B8">
            <w:pPr>
              <w:spacing w:line="280" w:lineRule="exact"/>
              <w:rPr>
                <w:rFonts w:hint="eastAsia" w:ascii="宋体" w:hAnsi="宋体"/>
                <w:color w:val="000000"/>
                <w:szCs w:val="21"/>
              </w:rPr>
            </w:pPr>
            <w:r>
              <w:rPr>
                <w:rFonts w:hint="eastAsia" w:ascii="宋体" w:hAnsi="宋体"/>
                <w:color w:val="000000"/>
                <w:szCs w:val="21"/>
              </w:rPr>
              <w:t xml:space="preserve">答疑时间：随时电话联系      </w:t>
            </w:r>
          </w:p>
        </w:tc>
      </w:tr>
      <w:tr w14:paraId="1BDE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1B664DF7">
            <w:pPr>
              <w:spacing w:line="280" w:lineRule="exact"/>
              <w:jc w:val="center"/>
              <w:rPr>
                <w:rFonts w:hint="eastAsia" w:ascii="宋体" w:hAnsi="宋体"/>
                <w:szCs w:val="21"/>
              </w:rPr>
            </w:pPr>
            <w:r>
              <w:rPr>
                <w:rFonts w:hint="eastAsia" w:ascii="宋体" w:hAnsi="宋体"/>
                <w:szCs w:val="21"/>
              </w:rPr>
              <w:t>3.2</w:t>
            </w:r>
          </w:p>
        </w:tc>
        <w:tc>
          <w:tcPr>
            <w:tcW w:w="8694" w:type="dxa"/>
            <w:vAlign w:val="center"/>
          </w:tcPr>
          <w:p w14:paraId="48E653A7">
            <w:pPr>
              <w:spacing w:line="280" w:lineRule="exact"/>
              <w:rPr>
                <w:rFonts w:hint="eastAsia" w:ascii="宋体" w:hAnsi="宋体"/>
                <w:color w:val="000000"/>
                <w:szCs w:val="21"/>
              </w:rPr>
            </w:pPr>
            <w:r>
              <w:rPr>
                <w:rFonts w:hint="eastAsia" w:ascii="宋体" w:hAnsi="宋体"/>
                <w:color w:val="000000"/>
                <w:szCs w:val="21"/>
              </w:rPr>
              <w:t xml:space="preserve">是否单独制作技术标：  </w:t>
            </w:r>
            <w:r>
              <w:rPr>
                <w:rFonts w:hint="eastAsia" w:ascii="宋体" w:hAnsi="宋体"/>
                <w:color w:val="000000"/>
                <w:szCs w:val="21"/>
                <w:lang w:val="en-US" w:eastAsia="zh-CN"/>
              </w:rPr>
              <w:t xml:space="preserve"> </w:t>
            </w:r>
            <w:r>
              <w:rPr>
                <w:rFonts w:hint="eastAsia" w:ascii="宋体" w:hAnsi="宋体"/>
                <w:color w:val="000000"/>
                <w:szCs w:val="21"/>
              </w:rPr>
              <w:t xml:space="preserve">是     </w:t>
            </w:r>
            <w:r>
              <w:rPr>
                <w:rFonts w:hint="eastAsia" w:ascii="宋体" w:hAnsi="宋体"/>
                <w:color w:val="000000"/>
                <w:szCs w:val="21"/>
                <w:lang w:eastAsia="zh-CN"/>
              </w:rPr>
              <w:t>☑</w:t>
            </w:r>
            <w:r>
              <w:rPr>
                <w:rFonts w:hint="eastAsia" w:ascii="宋体" w:hAnsi="宋体"/>
                <w:color w:val="000000"/>
                <w:szCs w:val="21"/>
              </w:rPr>
              <w:t>否</w:t>
            </w:r>
          </w:p>
        </w:tc>
      </w:tr>
      <w:tr w14:paraId="4F7D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02C0E2C4">
            <w:pPr>
              <w:spacing w:line="280" w:lineRule="exact"/>
              <w:jc w:val="center"/>
              <w:rPr>
                <w:rFonts w:hint="eastAsia" w:ascii="宋体" w:hAnsi="宋体"/>
                <w:szCs w:val="21"/>
              </w:rPr>
            </w:pPr>
            <w:r>
              <w:rPr>
                <w:rFonts w:hint="eastAsia" w:ascii="宋体" w:hAnsi="宋体"/>
                <w:szCs w:val="21"/>
              </w:rPr>
              <w:t>3.4</w:t>
            </w:r>
          </w:p>
        </w:tc>
        <w:tc>
          <w:tcPr>
            <w:tcW w:w="8694" w:type="dxa"/>
            <w:vAlign w:val="center"/>
          </w:tcPr>
          <w:p w14:paraId="5498C427">
            <w:pPr>
              <w:spacing w:line="280" w:lineRule="exact"/>
              <w:rPr>
                <w:rFonts w:hint="eastAsia" w:ascii="宋体" w:hAnsi="宋体"/>
                <w:color w:val="000000"/>
                <w:szCs w:val="21"/>
                <w:u w:val="single"/>
              </w:rPr>
            </w:pPr>
            <w:r>
              <w:rPr>
                <w:rFonts w:hint="eastAsia" w:ascii="宋体" w:hAnsi="宋体"/>
                <w:color w:val="000000"/>
                <w:szCs w:val="21"/>
              </w:rPr>
              <w:t xml:space="preserve">报价方式：√ 固定单价 </w:t>
            </w:r>
          </w:p>
        </w:tc>
      </w:tr>
      <w:tr w14:paraId="0789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0E5E3C64">
            <w:pPr>
              <w:spacing w:line="280" w:lineRule="exact"/>
              <w:jc w:val="center"/>
              <w:rPr>
                <w:rFonts w:hint="eastAsia" w:ascii="宋体" w:hAnsi="宋体"/>
                <w:szCs w:val="21"/>
              </w:rPr>
            </w:pPr>
            <w:r>
              <w:rPr>
                <w:rFonts w:hint="eastAsia" w:ascii="宋体" w:hAnsi="宋体"/>
                <w:szCs w:val="21"/>
              </w:rPr>
              <w:t>4.1</w:t>
            </w:r>
          </w:p>
        </w:tc>
        <w:tc>
          <w:tcPr>
            <w:tcW w:w="8694" w:type="dxa"/>
            <w:tcBorders>
              <w:bottom w:val="single" w:color="auto" w:sz="4" w:space="0"/>
            </w:tcBorders>
            <w:vAlign w:val="center"/>
          </w:tcPr>
          <w:p w14:paraId="4C979DD0">
            <w:pPr>
              <w:spacing w:line="280" w:lineRule="exact"/>
              <w:rPr>
                <w:rFonts w:hint="eastAsia" w:ascii="宋体" w:hAnsi="宋体"/>
                <w:color w:val="000000"/>
                <w:szCs w:val="21"/>
              </w:rPr>
            </w:pPr>
            <w:r>
              <w:rPr>
                <w:rFonts w:hint="eastAsia" w:ascii="宋体" w:hAnsi="宋体"/>
                <w:color w:val="000000"/>
                <w:szCs w:val="21"/>
              </w:rPr>
              <w:t>投标文件有效期为投标截止时间后不少于（</w:t>
            </w:r>
            <w:r>
              <w:rPr>
                <w:rFonts w:hint="eastAsia" w:ascii="宋体" w:hAnsi="宋体"/>
                <w:color w:val="000000"/>
                <w:szCs w:val="21"/>
                <w:lang w:val="en-US" w:eastAsia="zh-CN"/>
              </w:rPr>
              <w:t xml:space="preserve">    </w:t>
            </w:r>
            <w:r>
              <w:rPr>
                <w:rFonts w:hint="eastAsia" w:ascii="宋体" w:hAnsi="宋体"/>
                <w:color w:val="000000"/>
                <w:szCs w:val="21"/>
              </w:rPr>
              <w:t>）个日历天</w:t>
            </w:r>
          </w:p>
        </w:tc>
      </w:tr>
      <w:tr w14:paraId="20D6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463ECA9B">
            <w:pPr>
              <w:spacing w:line="280" w:lineRule="exact"/>
              <w:jc w:val="center"/>
              <w:rPr>
                <w:rFonts w:hint="eastAsia" w:ascii="宋体" w:hAnsi="宋体"/>
                <w:szCs w:val="21"/>
              </w:rPr>
            </w:pPr>
            <w:r>
              <w:rPr>
                <w:rFonts w:hint="eastAsia" w:ascii="宋体" w:hAnsi="宋体"/>
                <w:szCs w:val="21"/>
              </w:rPr>
              <w:t>5.1</w:t>
            </w:r>
          </w:p>
        </w:tc>
        <w:tc>
          <w:tcPr>
            <w:tcW w:w="8694" w:type="dxa"/>
            <w:vAlign w:val="center"/>
          </w:tcPr>
          <w:p w14:paraId="06972118">
            <w:pPr>
              <w:spacing w:line="280" w:lineRule="exact"/>
              <w:rPr>
                <w:rFonts w:hint="eastAsia" w:ascii="宋体" w:hAnsi="宋体"/>
                <w:color w:val="000000"/>
                <w:szCs w:val="21"/>
              </w:rPr>
            </w:pPr>
            <w:r>
              <w:rPr>
                <w:rFonts w:hint="eastAsia" w:ascii="宋体" w:hAnsi="宋体"/>
                <w:color w:val="000000"/>
                <w:szCs w:val="21"/>
              </w:rPr>
              <w:t xml:space="preserve">投标文件份数：  正本 </w:t>
            </w:r>
            <w:r>
              <w:rPr>
                <w:rFonts w:hint="eastAsia" w:ascii="宋体" w:hAnsi="宋体"/>
                <w:color w:val="000000"/>
                <w:szCs w:val="21"/>
                <w:u w:val="single"/>
              </w:rPr>
              <w:t xml:space="preserve"> 壹  </w:t>
            </w:r>
            <w:r>
              <w:rPr>
                <w:rFonts w:hint="eastAsia" w:ascii="宋体" w:hAnsi="宋体"/>
                <w:color w:val="000000"/>
                <w:szCs w:val="21"/>
              </w:rPr>
              <w:t>份，副本</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hint="eastAsia" w:ascii="宋体" w:hAnsi="宋体"/>
                <w:color w:val="000000"/>
                <w:szCs w:val="21"/>
              </w:rPr>
              <w:t>份  电子版清单</w:t>
            </w:r>
            <w:r>
              <w:rPr>
                <w:rFonts w:hint="eastAsia" w:ascii="宋体" w:hAnsi="宋体"/>
                <w:color w:val="000000"/>
                <w:szCs w:val="21"/>
                <w:u w:val="single"/>
              </w:rPr>
              <w:t xml:space="preserve">  壹   </w:t>
            </w:r>
            <w:r>
              <w:rPr>
                <w:rFonts w:hint="eastAsia" w:ascii="宋体" w:hAnsi="宋体"/>
                <w:color w:val="000000"/>
                <w:szCs w:val="21"/>
              </w:rPr>
              <w:t>份</w:t>
            </w:r>
          </w:p>
        </w:tc>
      </w:tr>
      <w:tr w14:paraId="29C2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134" w:type="dxa"/>
            <w:vAlign w:val="center"/>
          </w:tcPr>
          <w:p w14:paraId="68CD4965">
            <w:pPr>
              <w:spacing w:line="280" w:lineRule="exact"/>
              <w:jc w:val="center"/>
              <w:rPr>
                <w:rFonts w:hint="eastAsia" w:ascii="宋体" w:hAnsi="宋体"/>
                <w:szCs w:val="21"/>
              </w:rPr>
            </w:pPr>
            <w:r>
              <w:rPr>
                <w:rFonts w:hint="eastAsia" w:ascii="宋体" w:hAnsi="宋体"/>
                <w:szCs w:val="21"/>
              </w:rPr>
              <w:t>6.2</w:t>
            </w:r>
          </w:p>
        </w:tc>
        <w:tc>
          <w:tcPr>
            <w:tcW w:w="8694" w:type="dxa"/>
            <w:vAlign w:val="center"/>
          </w:tcPr>
          <w:p w14:paraId="224D8A4A">
            <w:pPr>
              <w:spacing w:line="280" w:lineRule="exact"/>
              <w:rPr>
                <w:rFonts w:hint="eastAsia" w:ascii="宋体" w:hAnsi="宋体"/>
                <w:color w:val="000000"/>
                <w:szCs w:val="21"/>
                <w:u w:val="single"/>
              </w:rPr>
            </w:pPr>
            <w:r>
              <w:rPr>
                <w:rFonts w:hint="eastAsia" w:ascii="宋体" w:hAnsi="宋体"/>
                <w:color w:val="000000"/>
                <w:szCs w:val="21"/>
              </w:rPr>
              <w:t>投标文件递交地址：</w:t>
            </w:r>
            <w:r>
              <w:rPr>
                <w:rFonts w:hint="eastAsia" w:ascii="宋体" w:hAnsi="宋体" w:cs="宋体"/>
                <w:color w:val="000000"/>
                <w:spacing w:val="1"/>
                <w:kern w:val="0"/>
                <w:szCs w:val="21"/>
                <w:u w:val="single"/>
              </w:rPr>
              <w:t>嘉兴八佰伴</w:t>
            </w:r>
            <w:r>
              <w:rPr>
                <w:rFonts w:hint="eastAsia" w:ascii="宋体" w:hAnsi="宋体" w:cs="宋体"/>
                <w:color w:val="000000"/>
                <w:spacing w:val="1"/>
                <w:kern w:val="0"/>
                <w:szCs w:val="21"/>
                <w:u w:val="single"/>
                <w:lang w:val="en-US" w:eastAsia="zh-CN"/>
              </w:rPr>
              <w:t>8楼</w:t>
            </w:r>
            <w:r>
              <w:rPr>
                <w:rFonts w:hint="eastAsia" w:ascii="宋体" w:hAnsi="宋体" w:cs="宋体"/>
                <w:color w:val="000000"/>
                <w:spacing w:val="1"/>
                <w:kern w:val="0"/>
                <w:szCs w:val="21"/>
                <w:u w:val="single"/>
              </w:rPr>
              <w:t>办公室</w:t>
            </w:r>
            <w:r>
              <w:rPr>
                <w:rFonts w:hint="eastAsia" w:ascii="宋体" w:hAnsi="宋体" w:cs="宋体"/>
                <w:color w:val="000000"/>
                <w:spacing w:val="1"/>
                <w:kern w:val="0"/>
                <w:szCs w:val="21"/>
                <w:u w:val="single"/>
                <w:lang w:val="en-US" w:eastAsia="zh-CN"/>
              </w:rPr>
              <w:t xml:space="preserve">边上收纳室 </w:t>
            </w:r>
            <w:r>
              <w:rPr>
                <w:rFonts w:hint="eastAsia" w:ascii="宋体" w:hAnsi="宋体"/>
                <w:color w:val="000000"/>
                <w:szCs w:val="21"/>
                <w:u w:val="single"/>
              </w:rPr>
              <w:t xml:space="preserve"> </w:t>
            </w:r>
          </w:p>
          <w:p w14:paraId="25641EF5">
            <w:pPr>
              <w:spacing w:line="280" w:lineRule="exact"/>
              <w:rPr>
                <w:rFonts w:hint="eastAsia" w:ascii="宋体" w:hAnsi="宋体"/>
                <w:color w:val="000000"/>
                <w:szCs w:val="21"/>
                <w:u w:val="single"/>
              </w:rPr>
            </w:pPr>
            <w:r>
              <w:rPr>
                <w:rFonts w:hint="eastAsia" w:ascii="宋体" w:hAnsi="宋体"/>
                <w:color w:val="000000"/>
                <w:szCs w:val="21"/>
              </w:rPr>
              <w:t>招标文件发放人：【</w:t>
            </w:r>
            <w:r>
              <w:rPr>
                <w:rFonts w:hint="eastAsia" w:ascii="宋体" w:hAnsi="宋体"/>
                <w:color w:val="000000"/>
                <w:szCs w:val="21"/>
                <w:lang w:val="en-US" w:eastAsia="zh-CN"/>
              </w:rPr>
              <w:t xml:space="preserve">张磊 </w:t>
            </w:r>
            <w:r>
              <w:rPr>
                <w:rFonts w:hint="eastAsia" w:ascii="宋体" w:hAnsi="宋体"/>
                <w:color w:val="000000"/>
                <w:szCs w:val="21"/>
              </w:rPr>
              <w:t xml:space="preserve"> 联系电话：</w:t>
            </w:r>
            <w:r>
              <w:rPr>
                <w:rFonts w:hint="eastAsia" w:ascii="宋体" w:hAnsi="宋体"/>
                <w:color w:val="000000"/>
                <w:szCs w:val="21"/>
                <w:lang w:val="en-US" w:eastAsia="zh-CN"/>
              </w:rPr>
              <w:t xml:space="preserve">15000891643 </w:t>
            </w:r>
            <w:r>
              <w:rPr>
                <w:rFonts w:hint="eastAsia" w:ascii="宋体" w:hAnsi="宋体"/>
                <w:color w:val="000000"/>
                <w:szCs w:val="21"/>
              </w:rPr>
              <w:t>】</w:t>
            </w:r>
          </w:p>
          <w:p w14:paraId="275F36B3">
            <w:pPr>
              <w:spacing w:line="280" w:lineRule="exact"/>
              <w:rPr>
                <w:rFonts w:hint="eastAsia" w:ascii="宋体" w:hAnsi="宋体" w:eastAsia="宋体"/>
                <w:color w:val="000000"/>
                <w:szCs w:val="21"/>
                <w:lang w:val="en-US" w:eastAsia="zh-CN"/>
              </w:rPr>
            </w:pPr>
            <w:r>
              <w:rPr>
                <w:rFonts w:hint="eastAsia" w:ascii="宋体" w:hAnsi="宋体" w:cs="宋体"/>
                <w:color w:val="000000"/>
                <w:spacing w:val="1"/>
                <w:kern w:val="0"/>
                <w:szCs w:val="21"/>
              </w:rPr>
              <w:t>投标文件接收人：</w:t>
            </w:r>
            <w:r>
              <w:rPr>
                <w:rFonts w:hint="eastAsia" w:ascii="宋体" w:hAnsi="宋体" w:cs="宋体"/>
                <w:color w:val="000000"/>
                <w:spacing w:val="1"/>
                <w:kern w:val="0"/>
                <w:szCs w:val="21"/>
                <w:lang w:val="en-US" w:eastAsia="zh-CN"/>
              </w:rPr>
              <w:t>张磊</w:t>
            </w:r>
          </w:p>
        </w:tc>
      </w:tr>
      <w:tr w14:paraId="5095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34" w:type="dxa"/>
            <w:vAlign w:val="center"/>
          </w:tcPr>
          <w:p w14:paraId="7F5AC46C">
            <w:pPr>
              <w:spacing w:line="280" w:lineRule="exact"/>
              <w:jc w:val="center"/>
              <w:rPr>
                <w:rFonts w:hint="eastAsia" w:ascii="宋体" w:hAnsi="宋体"/>
                <w:szCs w:val="21"/>
              </w:rPr>
            </w:pPr>
            <w:r>
              <w:rPr>
                <w:rFonts w:hint="eastAsia" w:ascii="宋体" w:hAnsi="宋体"/>
                <w:szCs w:val="21"/>
              </w:rPr>
              <w:t>7.1</w:t>
            </w:r>
          </w:p>
        </w:tc>
        <w:tc>
          <w:tcPr>
            <w:tcW w:w="8694" w:type="dxa"/>
            <w:vAlign w:val="center"/>
          </w:tcPr>
          <w:p w14:paraId="3D76CF8A">
            <w:pPr>
              <w:spacing w:line="280" w:lineRule="exact"/>
              <w:rPr>
                <w:rFonts w:hint="eastAsia" w:ascii="宋体" w:hAnsi="宋体"/>
                <w:color w:val="000000"/>
                <w:szCs w:val="21"/>
              </w:rPr>
            </w:pPr>
            <w:r>
              <w:rPr>
                <w:rFonts w:hint="eastAsia" w:ascii="宋体" w:hAnsi="宋体"/>
                <w:color w:val="000000"/>
                <w:szCs w:val="21"/>
              </w:rPr>
              <w:t>商务标投标截止时间：</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2026  </w:t>
            </w:r>
            <w:r>
              <w:rPr>
                <w:rFonts w:hint="eastAsia" w:ascii="宋体" w:hAnsi="宋体"/>
                <w:color w:val="000000"/>
                <w:szCs w:val="21"/>
              </w:rPr>
              <w:t>年</w:t>
            </w:r>
            <w:r>
              <w:rPr>
                <w:rFonts w:hint="eastAsia" w:ascii="宋体" w:hAnsi="宋体"/>
                <w:color w:val="000000"/>
                <w:szCs w:val="21"/>
                <w:u w:val="single"/>
                <w:lang w:val="en-US" w:eastAsia="zh-CN"/>
              </w:rPr>
              <w:t xml:space="preserve">  7  </w:t>
            </w:r>
            <w:r>
              <w:rPr>
                <w:rFonts w:hint="eastAsia" w:ascii="宋体" w:hAnsi="宋体"/>
                <w:color w:val="000000"/>
                <w:szCs w:val="21"/>
              </w:rPr>
              <w:t>月</w:t>
            </w:r>
            <w:r>
              <w:rPr>
                <w:rFonts w:hint="eastAsia" w:ascii="宋体" w:hAnsi="宋体"/>
                <w:color w:val="000000"/>
                <w:szCs w:val="21"/>
                <w:u w:val="single"/>
                <w:lang w:val="en-US" w:eastAsia="zh-CN"/>
              </w:rPr>
              <w:t xml:space="preserve">  9   </w:t>
            </w:r>
            <w:r>
              <w:rPr>
                <w:rFonts w:hint="eastAsia" w:ascii="宋体" w:hAnsi="宋体"/>
                <w:color w:val="000000"/>
                <w:szCs w:val="21"/>
              </w:rPr>
              <w:t>日</w:t>
            </w:r>
            <w:r>
              <w:rPr>
                <w:rFonts w:hint="eastAsia" w:ascii="宋体" w:hAnsi="宋体"/>
                <w:color w:val="000000"/>
                <w:szCs w:val="21"/>
                <w:u w:val="single"/>
              </w:rPr>
              <w:t xml:space="preserve"> </w:t>
            </w:r>
          </w:p>
        </w:tc>
      </w:tr>
      <w:tr w14:paraId="49F3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34" w:type="dxa"/>
            <w:vAlign w:val="center"/>
          </w:tcPr>
          <w:p w14:paraId="0125C214">
            <w:pPr>
              <w:spacing w:line="280" w:lineRule="exact"/>
              <w:ind w:firstLine="210" w:firstLineChars="100"/>
              <w:jc w:val="both"/>
              <w:rPr>
                <w:rFonts w:hint="eastAsia" w:ascii="宋体" w:hAnsi="宋体"/>
                <w:szCs w:val="21"/>
              </w:rPr>
            </w:pPr>
            <w:r>
              <w:rPr>
                <w:rFonts w:hint="eastAsia" w:ascii="宋体" w:hAnsi="宋体"/>
                <w:szCs w:val="21"/>
              </w:rPr>
              <w:t>7.2</w:t>
            </w:r>
          </w:p>
        </w:tc>
        <w:tc>
          <w:tcPr>
            <w:tcW w:w="8694" w:type="dxa"/>
            <w:vAlign w:val="center"/>
          </w:tcPr>
          <w:p w14:paraId="0C85631E">
            <w:pPr>
              <w:spacing w:line="280" w:lineRule="exact"/>
              <w:jc w:val="both"/>
              <w:rPr>
                <w:rFonts w:hint="eastAsia" w:ascii="宋体" w:hAnsi="宋体"/>
                <w:color w:val="000000"/>
                <w:szCs w:val="21"/>
              </w:rPr>
            </w:pPr>
          </w:p>
          <w:p w14:paraId="366A33AA">
            <w:pPr>
              <w:spacing w:line="280" w:lineRule="exact"/>
              <w:jc w:val="both"/>
              <w:rPr>
                <w:rFonts w:hint="eastAsia" w:ascii="宋体" w:hAnsi="宋体"/>
                <w:color w:val="000000"/>
                <w:szCs w:val="21"/>
              </w:rPr>
            </w:pPr>
            <w:r>
              <w:rPr>
                <w:rFonts w:hint="eastAsia" w:ascii="宋体" w:hAnsi="宋体"/>
                <w:color w:val="000000"/>
                <w:szCs w:val="21"/>
              </w:rPr>
              <w:t xml:space="preserve">开标时间：【 </w:t>
            </w:r>
            <w:r>
              <w:rPr>
                <w:rFonts w:ascii="宋体" w:hAnsi="宋体"/>
                <w:color w:val="000000"/>
                <w:szCs w:val="21"/>
                <w:u w:val="single"/>
              </w:rPr>
              <w:t xml:space="preserve"> </w:t>
            </w:r>
            <w:r>
              <w:rPr>
                <w:rFonts w:hint="eastAsia" w:ascii="宋体" w:hAnsi="宋体"/>
                <w:color w:val="000000"/>
                <w:szCs w:val="21"/>
                <w:u w:val="single"/>
                <w:lang w:val="en-US" w:eastAsia="zh-CN"/>
              </w:rPr>
              <w:t>2026</w:t>
            </w:r>
            <w:r>
              <w:rPr>
                <w:rFonts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lang w:val="en-US" w:eastAsia="zh-CN"/>
              </w:rPr>
              <w:t xml:space="preserve">7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9</w:t>
            </w:r>
            <w:r>
              <w:rPr>
                <w:rFonts w:ascii="宋体" w:hAnsi="宋体"/>
                <w:color w:val="000000"/>
                <w:szCs w:val="21"/>
                <w:u w:val="single"/>
              </w:rPr>
              <w:t xml:space="preserve">  </w:t>
            </w:r>
            <w:r>
              <w:rPr>
                <w:rFonts w:hint="eastAsia" w:ascii="宋体" w:hAnsi="宋体"/>
                <w:color w:val="000000"/>
                <w:szCs w:val="21"/>
              </w:rPr>
              <w:t>日</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lang w:val="en-US" w:eastAsia="zh-CN"/>
              </w:rPr>
              <w:t>12</w:t>
            </w:r>
            <w:r>
              <w:rPr>
                <w:rFonts w:ascii="宋体" w:hAnsi="宋体"/>
                <w:color w:val="000000"/>
                <w:szCs w:val="21"/>
                <w:u w:val="single"/>
              </w:rPr>
              <w:t xml:space="preserve">  </w:t>
            </w:r>
            <w:r>
              <w:rPr>
                <w:rFonts w:hint="eastAsia" w:ascii="宋体" w:hAnsi="宋体"/>
                <w:color w:val="000000"/>
                <w:szCs w:val="21"/>
              </w:rPr>
              <w:t>时</w:t>
            </w:r>
            <w:r>
              <w:rPr>
                <w:rFonts w:hint="eastAsia" w:ascii="宋体" w:hAnsi="宋体"/>
                <w:color w:val="000000"/>
                <w:szCs w:val="21"/>
                <w:u w:val="single"/>
              </w:rPr>
              <w:t xml:space="preserve">  </w:t>
            </w:r>
            <w:r>
              <w:rPr>
                <w:rFonts w:hint="eastAsia" w:ascii="宋体" w:hAnsi="宋体"/>
                <w:color w:val="000000"/>
                <w:szCs w:val="21"/>
                <w:u w:val="single"/>
                <w:lang w:val="en-US" w:eastAsia="zh-CN"/>
              </w:rPr>
              <w:t>00</w:t>
            </w:r>
            <w:r>
              <w:rPr>
                <w:rFonts w:hint="eastAsia" w:ascii="宋体" w:hAnsi="宋体"/>
                <w:color w:val="000000"/>
                <w:szCs w:val="21"/>
                <w:u w:val="single"/>
              </w:rPr>
              <w:t xml:space="preserve">  </w:t>
            </w:r>
            <w:r>
              <w:rPr>
                <w:rFonts w:hint="eastAsia" w:ascii="宋体" w:hAnsi="宋体"/>
                <w:color w:val="000000"/>
                <w:szCs w:val="21"/>
              </w:rPr>
              <w:t>分</w:t>
            </w:r>
            <w:r>
              <w:rPr>
                <w:rFonts w:hint="eastAsia" w:ascii="宋体" w:hAnsi="宋体" w:cs="宋体"/>
                <w:color w:val="000000"/>
                <w:spacing w:val="1"/>
                <w:kern w:val="0"/>
              </w:rPr>
              <w:t>】</w:t>
            </w:r>
          </w:p>
          <w:p w14:paraId="5EA2DA10">
            <w:pPr>
              <w:spacing w:line="280" w:lineRule="exact"/>
              <w:jc w:val="both"/>
              <w:rPr>
                <w:rFonts w:hint="eastAsia" w:ascii="宋体" w:hAnsi="宋体"/>
                <w:color w:val="000000"/>
                <w:szCs w:val="21"/>
              </w:rPr>
            </w:pPr>
          </w:p>
        </w:tc>
      </w:tr>
      <w:tr w14:paraId="1981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34" w:type="dxa"/>
            <w:vAlign w:val="center"/>
          </w:tcPr>
          <w:p w14:paraId="2708004C">
            <w:pPr>
              <w:spacing w:line="280" w:lineRule="exact"/>
              <w:jc w:val="center"/>
              <w:rPr>
                <w:rFonts w:hint="eastAsia" w:ascii="宋体" w:hAnsi="宋体"/>
                <w:szCs w:val="21"/>
              </w:rPr>
            </w:pPr>
            <w:r>
              <w:rPr>
                <w:rFonts w:hint="eastAsia" w:ascii="宋体" w:hAnsi="宋体"/>
                <w:szCs w:val="21"/>
              </w:rPr>
              <w:t>8.1</w:t>
            </w:r>
          </w:p>
        </w:tc>
        <w:tc>
          <w:tcPr>
            <w:tcW w:w="8694" w:type="dxa"/>
            <w:vAlign w:val="center"/>
          </w:tcPr>
          <w:p w14:paraId="4D663953">
            <w:pPr>
              <w:spacing w:line="280" w:lineRule="exact"/>
              <w:rPr>
                <w:rFonts w:hint="eastAsia" w:ascii="宋体" w:hAnsi="宋体"/>
                <w:szCs w:val="21"/>
              </w:rPr>
            </w:pPr>
            <w:r>
              <w:rPr>
                <w:rFonts w:hint="eastAsia" w:ascii="宋体" w:hAnsi="宋体"/>
                <w:szCs w:val="21"/>
              </w:rPr>
              <w:t>评标办法：</w:t>
            </w:r>
          </w:p>
        </w:tc>
      </w:tr>
      <w:tr w14:paraId="49E7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134" w:type="dxa"/>
            <w:vAlign w:val="center"/>
          </w:tcPr>
          <w:p w14:paraId="02E74E5B">
            <w:pPr>
              <w:spacing w:line="280" w:lineRule="exact"/>
              <w:jc w:val="center"/>
              <w:rPr>
                <w:rFonts w:hint="eastAsia" w:ascii="宋体" w:hAnsi="宋体"/>
                <w:szCs w:val="21"/>
              </w:rPr>
            </w:pPr>
            <w:r>
              <w:rPr>
                <w:rFonts w:hint="eastAsia" w:ascii="宋体" w:hAnsi="宋体"/>
                <w:szCs w:val="21"/>
              </w:rPr>
              <w:t>合同主要条款</w:t>
            </w:r>
          </w:p>
        </w:tc>
        <w:tc>
          <w:tcPr>
            <w:tcW w:w="8694" w:type="dxa"/>
            <w:vAlign w:val="center"/>
          </w:tcPr>
          <w:p w14:paraId="35CAB1AA">
            <w:pPr>
              <w:spacing w:line="280" w:lineRule="exact"/>
              <w:rPr>
                <w:rFonts w:hint="eastAsia" w:ascii="宋体" w:hAnsi="宋体"/>
                <w:sz w:val="21"/>
                <w:szCs w:val="21"/>
              </w:rPr>
            </w:pPr>
            <w:r>
              <w:rPr>
                <w:rFonts w:hint="eastAsia" w:ascii="宋体" w:hAnsi="宋体"/>
                <w:sz w:val="21"/>
                <w:szCs w:val="21"/>
                <w:highlight w:val="yellow"/>
                <w:lang w:val="en-US" w:eastAsia="zh-CN"/>
              </w:rPr>
              <w:t>施工</w:t>
            </w:r>
            <w:r>
              <w:rPr>
                <w:rFonts w:hint="eastAsia" w:ascii="宋体" w:hAnsi="宋体"/>
                <w:sz w:val="21"/>
                <w:szCs w:val="21"/>
                <w:highlight w:val="yellow"/>
              </w:rPr>
              <w:t xml:space="preserve">周期： </w:t>
            </w:r>
            <w:r>
              <w:rPr>
                <w:rFonts w:hint="eastAsia" w:ascii="宋体" w:hAnsi="宋体"/>
                <w:sz w:val="21"/>
                <w:szCs w:val="21"/>
                <w:highlight w:val="yellow"/>
                <w:lang w:val="en-US" w:eastAsia="zh-CN"/>
              </w:rPr>
              <w:t xml:space="preserve"> 10    </w:t>
            </w:r>
            <w:r>
              <w:rPr>
                <w:rFonts w:hint="eastAsia" w:ascii="宋体" w:hAnsi="宋体"/>
                <w:color w:val="auto"/>
                <w:sz w:val="21"/>
                <w:szCs w:val="21"/>
                <w:highlight w:val="yellow"/>
              </w:rPr>
              <w:t>天</w:t>
            </w:r>
            <w:r>
              <w:rPr>
                <w:rFonts w:hint="eastAsia" w:ascii="宋体" w:hAnsi="宋体"/>
                <w:sz w:val="21"/>
                <w:szCs w:val="21"/>
              </w:rPr>
              <w:t>。</w:t>
            </w:r>
          </w:p>
          <w:p w14:paraId="12886C04">
            <w:pPr>
              <w:spacing w:line="280" w:lineRule="exact"/>
              <w:rPr>
                <w:rFonts w:hint="eastAsia" w:ascii="宋体" w:hAnsi="宋体"/>
                <w:szCs w:val="21"/>
              </w:rPr>
            </w:pPr>
            <w:r>
              <w:rPr>
                <w:rFonts w:hint="eastAsia" w:ascii="宋体" w:hAnsi="宋体"/>
                <w:sz w:val="21"/>
                <w:szCs w:val="21"/>
              </w:rPr>
              <w:t xml:space="preserve">质保金：      </w:t>
            </w:r>
            <w:r>
              <w:rPr>
                <w:rFonts w:hint="eastAsia" w:ascii="宋体" w:hAnsi="宋体"/>
                <w:sz w:val="21"/>
                <w:szCs w:val="21"/>
                <w:lang w:val="en-US" w:eastAsia="zh-CN"/>
              </w:rPr>
              <w:t xml:space="preserve"> </w:t>
            </w:r>
            <w:r>
              <w:rPr>
                <w:rFonts w:hint="eastAsia" w:ascii="宋体" w:hAnsi="宋体"/>
                <w:szCs w:val="21"/>
                <w:lang w:val="en-US" w:eastAsia="zh-CN"/>
              </w:rPr>
              <w:t xml:space="preserve"> </w:t>
            </w:r>
            <w:r>
              <w:rPr>
                <w:rFonts w:hint="eastAsia" w:ascii="宋体" w:hAnsi="宋体"/>
                <w:szCs w:val="21"/>
              </w:rPr>
              <w:t xml:space="preserve">    质保期：       </w:t>
            </w:r>
          </w:p>
          <w:p w14:paraId="3895F3AD">
            <w:pPr>
              <w:spacing w:line="280" w:lineRule="exact"/>
              <w:rPr>
                <w:rFonts w:hint="default" w:ascii="宋体" w:hAnsi="宋体" w:eastAsia="宋体"/>
                <w:sz w:val="24"/>
                <w:u w:val="single"/>
                <w:lang w:val="en-US" w:eastAsia="zh-CN"/>
              </w:rPr>
            </w:pPr>
            <w:r>
              <w:rPr>
                <w:rFonts w:hint="eastAsia" w:ascii="宋体" w:hAnsi="宋体"/>
                <w:szCs w:val="21"/>
              </w:rPr>
              <w:t>付款时间：</w:t>
            </w:r>
            <w:r>
              <w:rPr>
                <w:rFonts w:hint="eastAsia" w:ascii="宋体" w:hAnsi="宋体"/>
                <w:szCs w:val="21"/>
                <w:u w:val="single"/>
                <w:lang w:val="en-US" w:eastAsia="zh-CN"/>
              </w:rPr>
              <w:t xml:space="preserve">  /         </w:t>
            </w:r>
          </w:p>
          <w:p w14:paraId="553F96A3">
            <w:pPr>
              <w:spacing w:line="280" w:lineRule="exact"/>
              <w:rPr>
                <w:rFonts w:hint="eastAsia" w:ascii="宋体" w:hAnsi="宋体"/>
                <w:szCs w:val="21"/>
              </w:rPr>
            </w:pPr>
            <w:r>
              <w:rPr>
                <w:rFonts w:hint="eastAsia" w:ascii="宋体" w:hAnsi="宋体"/>
                <w:szCs w:val="21"/>
                <w:u w:val="single"/>
              </w:rPr>
              <w:t>支</w:t>
            </w:r>
            <w:r>
              <w:rPr>
                <w:rFonts w:hint="eastAsia" w:ascii="宋体" w:hAnsi="宋体"/>
                <w:szCs w:val="21"/>
              </w:rPr>
              <w:t>付方式：</w:t>
            </w:r>
            <w:r>
              <w:rPr>
                <w:rFonts w:hint="eastAsia" w:ascii="宋体" w:hAnsi="宋体"/>
                <w:szCs w:val="21"/>
                <w:lang w:eastAsia="zh-CN"/>
              </w:rPr>
              <w:t>☑</w:t>
            </w:r>
            <w:r>
              <w:rPr>
                <w:rFonts w:hint="eastAsia" w:ascii="宋体" w:hAnsi="宋体"/>
                <w:szCs w:val="21"/>
              </w:rPr>
              <w:t xml:space="preserve">电汇 </w:t>
            </w:r>
            <w:r>
              <w:rPr>
                <w:rFonts w:hint="eastAsia" w:ascii="宋体" w:hAnsi="宋体"/>
                <w:szCs w:val="21"/>
                <w:lang w:val="en-US" w:eastAsia="zh-CN"/>
              </w:rPr>
              <w:t xml:space="preserve"> </w:t>
            </w:r>
            <w:r>
              <w:rPr>
                <w:rFonts w:hint="eastAsia" w:ascii="宋体" w:hAnsi="宋体"/>
                <w:szCs w:val="21"/>
              </w:rPr>
              <w:t xml:space="preserve"> □网上银行  </w:t>
            </w:r>
            <w:r>
              <w:rPr>
                <w:rFonts w:hint="eastAsia" w:ascii="宋体" w:hAnsi="宋体"/>
                <w:szCs w:val="21"/>
                <w:lang w:val="en-US" w:eastAsia="zh-CN"/>
              </w:rPr>
              <w:t xml:space="preserve"> </w:t>
            </w:r>
            <w:r>
              <w:rPr>
                <w:rFonts w:hint="eastAsia" w:ascii="宋体" w:hAnsi="宋体"/>
                <w:szCs w:val="21"/>
              </w:rPr>
              <w:t xml:space="preserve">□承兑汇票  </w:t>
            </w:r>
            <w:r>
              <w:rPr>
                <w:rFonts w:hint="eastAsia" w:ascii="宋体" w:hAnsi="宋体"/>
                <w:szCs w:val="21"/>
                <w:lang w:val="en-US" w:eastAsia="zh-CN"/>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szCs w:val="21"/>
              </w:rPr>
              <w:t xml:space="preserve"> </w:t>
            </w:r>
          </w:p>
        </w:tc>
      </w:tr>
    </w:tbl>
    <w:p w14:paraId="4716E157">
      <w:pPr>
        <w:rPr>
          <w:rFonts w:hint="eastAsia" w:eastAsia="宋体"/>
          <w:lang w:val="en-US" w:eastAsia="zh-CN"/>
        </w:rPr>
      </w:pPr>
      <w:r>
        <w:rPr>
          <w:rFonts w:hint="eastAsia"/>
          <w:lang w:val="en-US" w:eastAsia="zh-CN"/>
        </w:rPr>
        <w:t xml:space="preserve"> </w:t>
      </w:r>
    </w:p>
    <w:p w14:paraId="401831CC">
      <w:pPr>
        <w:pStyle w:val="3"/>
        <w:numPr>
          <w:ilvl w:val="0"/>
          <w:numId w:val="2"/>
        </w:numPr>
        <w:spacing w:line="360" w:lineRule="auto"/>
        <w:rPr>
          <w:rFonts w:hint="eastAsia"/>
          <w:sz w:val="24"/>
          <w:szCs w:val="24"/>
        </w:rPr>
      </w:pPr>
      <w:bookmarkStart w:id="1" w:name="_Toc268095265"/>
      <w:r>
        <w:rPr>
          <w:rFonts w:hint="eastAsia"/>
          <w:sz w:val="24"/>
          <w:szCs w:val="24"/>
        </w:rPr>
        <w:t>总则</w:t>
      </w:r>
      <w:bookmarkEnd w:id="1"/>
      <w:r>
        <w:rPr>
          <w:rFonts w:hint="eastAsia"/>
          <w:sz w:val="24"/>
          <w:szCs w:val="24"/>
        </w:rPr>
        <w:t xml:space="preserve"> </w:t>
      </w:r>
    </w:p>
    <w:p w14:paraId="55DD2AC7">
      <w:pPr>
        <w:numPr>
          <w:ilvl w:val="0"/>
          <w:numId w:val="3"/>
        </w:numPr>
        <w:spacing w:line="360" w:lineRule="auto"/>
        <w:rPr>
          <w:rFonts w:hint="eastAsia"/>
          <w:sz w:val="24"/>
        </w:rPr>
      </w:pPr>
      <w:r>
        <w:rPr>
          <w:rFonts w:hint="eastAsia"/>
          <w:sz w:val="24"/>
        </w:rPr>
        <w:t>概况</w:t>
      </w:r>
    </w:p>
    <w:p w14:paraId="5E09275D">
      <w:pPr>
        <w:numPr>
          <w:ilvl w:val="1"/>
          <w:numId w:val="3"/>
        </w:numPr>
        <w:spacing w:line="360" w:lineRule="auto"/>
        <w:rPr>
          <w:rFonts w:hint="eastAsia"/>
          <w:sz w:val="24"/>
        </w:rPr>
      </w:pPr>
      <w:r>
        <w:rPr>
          <w:rFonts w:hint="eastAsia"/>
          <w:sz w:val="24"/>
        </w:rPr>
        <w:t>招标事项：</w:t>
      </w:r>
      <w:r>
        <w:rPr>
          <w:rFonts w:hint="eastAsia" w:ascii="宋体" w:hAnsi="宋体"/>
          <w:sz w:val="24"/>
        </w:rPr>
        <w:t>见招标要求明细表。</w:t>
      </w:r>
    </w:p>
    <w:p w14:paraId="2703E92B">
      <w:pPr>
        <w:numPr>
          <w:ilvl w:val="0"/>
          <w:numId w:val="3"/>
        </w:numPr>
        <w:spacing w:line="360" w:lineRule="auto"/>
        <w:rPr>
          <w:rFonts w:hint="eastAsia"/>
          <w:sz w:val="24"/>
        </w:rPr>
      </w:pPr>
      <w:r>
        <w:rPr>
          <w:rFonts w:hint="eastAsia"/>
          <w:sz w:val="24"/>
        </w:rPr>
        <w:t>投标资格</w:t>
      </w:r>
    </w:p>
    <w:p w14:paraId="31F6A5A8">
      <w:pPr>
        <w:numPr>
          <w:ilvl w:val="1"/>
          <w:numId w:val="3"/>
        </w:numPr>
        <w:spacing w:line="360" w:lineRule="auto"/>
        <w:rPr>
          <w:rFonts w:hint="eastAsia"/>
          <w:sz w:val="24"/>
        </w:rPr>
      </w:pPr>
      <w:r>
        <w:rPr>
          <w:rFonts w:hint="eastAsia"/>
          <w:sz w:val="24"/>
        </w:rPr>
        <w:t>投标方应当是具有承揽本招标事项的能力，具备招标要求明细表要求的企业法人或其授权的分支机构。</w:t>
      </w:r>
    </w:p>
    <w:p w14:paraId="556B81D7">
      <w:pPr>
        <w:numPr>
          <w:ilvl w:val="1"/>
          <w:numId w:val="3"/>
        </w:numPr>
        <w:spacing w:line="360" w:lineRule="auto"/>
        <w:rPr>
          <w:rFonts w:hint="eastAsia"/>
          <w:sz w:val="24"/>
        </w:rPr>
      </w:pPr>
      <w:r>
        <w:rPr>
          <w:rFonts w:hint="eastAsia"/>
          <w:sz w:val="24"/>
        </w:rPr>
        <w:t>联合体形式的投标将不被接受。</w:t>
      </w:r>
    </w:p>
    <w:p w14:paraId="4AF37BDB">
      <w:pPr>
        <w:numPr>
          <w:ilvl w:val="0"/>
          <w:numId w:val="3"/>
        </w:numPr>
        <w:spacing w:line="360" w:lineRule="auto"/>
        <w:rPr>
          <w:rFonts w:hint="eastAsia"/>
          <w:sz w:val="24"/>
        </w:rPr>
      </w:pPr>
      <w:r>
        <w:rPr>
          <w:rFonts w:hint="eastAsia"/>
          <w:sz w:val="24"/>
        </w:rPr>
        <w:t>答疑：</w:t>
      </w:r>
    </w:p>
    <w:p w14:paraId="7C77D9A5">
      <w:pPr>
        <w:numPr>
          <w:ilvl w:val="1"/>
          <w:numId w:val="3"/>
        </w:numPr>
        <w:spacing w:line="360" w:lineRule="auto"/>
        <w:rPr>
          <w:rFonts w:hint="eastAsia"/>
          <w:sz w:val="24"/>
        </w:rPr>
      </w:pPr>
      <w:r>
        <w:rPr>
          <w:rFonts w:hint="eastAsia"/>
          <w:sz w:val="24"/>
        </w:rPr>
        <w:t>招标方向投标方提供的有关现场的数据和资料，是招标方现有的能被投标方利用的资料，招标方对投标方做出的任何推论和结论均不负责任。</w:t>
      </w:r>
    </w:p>
    <w:p w14:paraId="181B7694">
      <w:pPr>
        <w:numPr>
          <w:ilvl w:val="1"/>
          <w:numId w:val="3"/>
        </w:numPr>
        <w:spacing w:line="360" w:lineRule="auto"/>
        <w:rPr>
          <w:rFonts w:hint="eastAsia"/>
          <w:sz w:val="24"/>
        </w:rPr>
      </w:pPr>
      <w:r>
        <w:rPr>
          <w:rFonts w:hint="eastAsia"/>
          <w:sz w:val="24"/>
        </w:rPr>
        <w:t>招标方将按本须知招标要求明细表所述时间，组织投标方进行答疑。答疑纪要作为本招标文件的补充文件。答疑纪要内容与本招标文件抵触的，以答疑纪要为准。</w:t>
      </w:r>
    </w:p>
    <w:p w14:paraId="5273B54C">
      <w:pPr>
        <w:numPr>
          <w:ilvl w:val="0"/>
          <w:numId w:val="3"/>
        </w:numPr>
        <w:spacing w:line="360" w:lineRule="auto"/>
        <w:rPr>
          <w:rFonts w:hint="eastAsia"/>
          <w:sz w:val="24"/>
        </w:rPr>
      </w:pPr>
      <w:r>
        <w:rPr>
          <w:rFonts w:hint="eastAsia"/>
          <w:sz w:val="24"/>
        </w:rPr>
        <w:t>投标费用：</w:t>
      </w:r>
    </w:p>
    <w:p w14:paraId="7D81AAB6">
      <w:pPr>
        <w:spacing w:line="360" w:lineRule="auto"/>
        <w:rPr>
          <w:rFonts w:hint="eastAsia"/>
          <w:sz w:val="24"/>
        </w:rPr>
      </w:pPr>
      <w:r>
        <w:rPr>
          <w:rFonts w:hint="eastAsia"/>
          <w:sz w:val="24"/>
        </w:rPr>
        <w:t>投标方应自行承担编制投标文件，投标过程中所涉及的一切费用。不管投标结果如何，招标方对上述费用不负任何责任。</w:t>
      </w:r>
    </w:p>
    <w:p w14:paraId="28EAF47B">
      <w:pPr>
        <w:pStyle w:val="3"/>
        <w:numPr>
          <w:ilvl w:val="0"/>
          <w:numId w:val="2"/>
        </w:numPr>
        <w:spacing w:line="360" w:lineRule="auto"/>
        <w:rPr>
          <w:rFonts w:hint="eastAsia"/>
          <w:sz w:val="24"/>
          <w:szCs w:val="24"/>
        </w:rPr>
      </w:pPr>
      <w:bookmarkStart w:id="2" w:name="_Toc268095266"/>
      <w:r>
        <w:rPr>
          <w:rFonts w:hint="eastAsia"/>
          <w:sz w:val="24"/>
          <w:szCs w:val="24"/>
        </w:rPr>
        <w:t>招标文件</w:t>
      </w:r>
      <w:bookmarkEnd w:id="2"/>
    </w:p>
    <w:p w14:paraId="185025BA">
      <w:pPr>
        <w:numPr>
          <w:ilvl w:val="0"/>
          <w:numId w:val="3"/>
        </w:numPr>
        <w:spacing w:line="360" w:lineRule="auto"/>
        <w:rPr>
          <w:rFonts w:hint="eastAsia"/>
          <w:sz w:val="24"/>
        </w:rPr>
      </w:pPr>
      <w:r>
        <w:rPr>
          <w:rFonts w:hint="eastAsia"/>
          <w:sz w:val="24"/>
        </w:rPr>
        <w:t>招标文件的组成</w:t>
      </w:r>
    </w:p>
    <w:p w14:paraId="576394BA">
      <w:pPr>
        <w:numPr>
          <w:ilvl w:val="1"/>
          <w:numId w:val="4"/>
        </w:numPr>
        <w:spacing w:line="360" w:lineRule="auto"/>
        <w:rPr>
          <w:rFonts w:hint="eastAsia"/>
          <w:sz w:val="24"/>
        </w:rPr>
      </w:pPr>
      <w:r>
        <w:rPr>
          <w:rFonts w:hint="eastAsia"/>
          <w:sz w:val="24"/>
        </w:rPr>
        <w:t>招标文件由投标须知、</w:t>
      </w:r>
      <w:r>
        <w:rPr>
          <w:rFonts w:hint="eastAsia"/>
          <w:sz w:val="24"/>
          <w:lang w:val="en-US" w:eastAsia="zh-CN"/>
        </w:rPr>
        <w:t>项目</w:t>
      </w:r>
      <w:r>
        <w:rPr>
          <w:rFonts w:hint="eastAsia"/>
          <w:sz w:val="24"/>
        </w:rPr>
        <w:t>明细表等组成。</w:t>
      </w:r>
    </w:p>
    <w:p w14:paraId="342D741C">
      <w:pPr>
        <w:numPr>
          <w:ilvl w:val="1"/>
          <w:numId w:val="4"/>
        </w:numPr>
        <w:spacing w:line="360" w:lineRule="auto"/>
        <w:rPr>
          <w:rFonts w:hint="eastAsia"/>
          <w:sz w:val="24"/>
        </w:rPr>
      </w:pPr>
      <w:r>
        <w:rPr>
          <w:rFonts w:hint="eastAsia"/>
          <w:sz w:val="24"/>
        </w:rPr>
        <w:t>招标文件是参加投标的依据，也是中标后签订合同的附件。</w:t>
      </w:r>
    </w:p>
    <w:p w14:paraId="6EECE1CA">
      <w:pPr>
        <w:numPr>
          <w:ilvl w:val="1"/>
          <w:numId w:val="4"/>
        </w:numPr>
        <w:spacing w:line="360" w:lineRule="auto"/>
        <w:rPr>
          <w:rFonts w:hint="eastAsia"/>
          <w:sz w:val="24"/>
        </w:rPr>
      </w:pPr>
      <w:r>
        <w:rPr>
          <w:rFonts w:hint="eastAsia"/>
          <w:sz w:val="24"/>
        </w:rPr>
        <w:t>投标方应认真阅读招标文件中所有的内容，如果投标方编制的投标文件实质上不响应招标文件要求，其投标文件将有可能被招标方拒绝。</w:t>
      </w:r>
    </w:p>
    <w:p w14:paraId="43A7F6EA">
      <w:pPr>
        <w:numPr>
          <w:ilvl w:val="0"/>
          <w:numId w:val="4"/>
        </w:numPr>
        <w:spacing w:line="360" w:lineRule="auto"/>
        <w:rPr>
          <w:rFonts w:hint="eastAsia"/>
          <w:sz w:val="24"/>
        </w:rPr>
      </w:pPr>
      <w:r>
        <w:rPr>
          <w:rFonts w:hint="eastAsia"/>
          <w:sz w:val="24"/>
        </w:rPr>
        <w:t>招标文件的解释</w:t>
      </w:r>
    </w:p>
    <w:p w14:paraId="31ACCC90">
      <w:pPr>
        <w:numPr>
          <w:ilvl w:val="1"/>
          <w:numId w:val="4"/>
        </w:numPr>
        <w:spacing w:line="360" w:lineRule="auto"/>
        <w:rPr>
          <w:rFonts w:hint="eastAsia"/>
          <w:sz w:val="24"/>
        </w:rPr>
      </w:pPr>
      <w:r>
        <w:rPr>
          <w:rFonts w:hint="eastAsia"/>
          <w:sz w:val="24"/>
        </w:rPr>
        <w:t>投标方在收到招标文件后，若有问题需要澄清，应于收到招标文件后2日内，以书面形式（包括书面文字、邮件、传真等）向招标方提出，招标方将书面形式或招标答疑会的纪要形式通知所有获得招标文件的投标方。</w:t>
      </w:r>
    </w:p>
    <w:p w14:paraId="7271A4DC">
      <w:pPr>
        <w:numPr>
          <w:ilvl w:val="0"/>
          <w:numId w:val="4"/>
        </w:numPr>
        <w:spacing w:line="360" w:lineRule="auto"/>
        <w:rPr>
          <w:rFonts w:hint="eastAsia"/>
          <w:sz w:val="24"/>
        </w:rPr>
      </w:pPr>
      <w:r>
        <w:rPr>
          <w:rFonts w:hint="eastAsia"/>
          <w:sz w:val="24"/>
        </w:rPr>
        <w:t>招标文件的修改</w:t>
      </w:r>
    </w:p>
    <w:p w14:paraId="183C1E6E">
      <w:pPr>
        <w:numPr>
          <w:ilvl w:val="1"/>
          <w:numId w:val="4"/>
        </w:numPr>
        <w:spacing w:line="360" w:lineRule="auto"/>
        <w:rPr>
          <w:rFonts w:hint="eastAsia"/>
          <w:sz w:val="24"/>
        </w:rPr>
      </w:pPr>
      <w:r>
        <w:rPr>
          <w:rFonts w:hint="eastAsia"/>
          <w:sz w:val="24"/>
        </w:rPr>
        <w:t>在投标截止日期前，招标方可能会以补充通知的方式修改招标文件。</w:t>
      </w:r>
    </w:p>
    <w:p w14:paraId="37EE857C">
      <w:pPr>
        <w:numPr>
          <w:ilvl w:val="1"/>
          <w:numId w:val="4"/>
        </w:numPr>
        <w:spacing w:line="360" w:lineRule="auto"/>
        <w:rPr>
          <w:rFonts w:hint="eastAsia"/>
          <w:sz w:val="24"/>
        </w:rPr>
      </w:pPr>
      <w:r>
        <w:rPr>
          <w:rFonts w:hint="eastAsia"/>
          <w:sz w:val="24"/>
        </w:rPr>
        <w:t>补充通知将以书面或邮件的方式发给所有获得招标文件的投标方，补充通知作为招标文件的组成部份，对投标方有约束作用。</w:t>
      </w:r>
    </w:p>
    <w:p w14:paraId="070F8C5F">
      <w:pPr>
        <w:numPr>
          <w:ilvl w:val="1"/>
          <w:numId w:val="4"/>
        </w:numPr>
        <w:spacing w:line="360" w:lineRule="auto"/>
        <w:rPr>
          <w:rFonts w:hint="eastAsia"/>
          <w:sz w:val="24"/>
        </w:rPr>
      </w:pPr>
      <w:r>
        <w:rPr>
          <w:rFonts w:hint="eastAsia"/>
          <w:sz w:val="24"/>
        </w:rPr>
        <w:t>为使投标方在编制投标文件时把补充通知内容考虑进去，招标方可以酌情延长递交投标文件的截止日期。</w:t>
      </w:r>
    </w:p>
    <w:p w14:paraId="1CDC52CC">
      <w:pPr>
        <w:numPr>
          <w:ilvl w:val="0"/>
          <w:numId w:val="4"/>
        </w:numPr>
        <w:spacing w:line="360" w:lineRule="auto"/>
        <w:rPr>
          <w:rFonts w:hint="eastAsia"/>
          <w:b/>
          <w:sz w:val="24"/>
        </w:rPr>
      </w:pPr>
      <w:r>
        <w:rPr>
          <w:rFonts w:hint="eastAsia"/>
          <w:b/>
          <w:sz w:val="24"/>
        </w:rPr>
        <w:t>声明：除上述所列条款内容外，招标方的任何工作人员对投标方所作的任何口头解释、介绍、答复，只能供投标方参考，对投标方无任何约束力，招标方也不承担任何责任。</w:t>
      </w:r>
    </w:p>
    <w:p w14:paraId="09137831">
      <w:pPr>
        <w:pStyle w:val="3"/>
        <w:numPr>
          <w:ilvl w:val="0"/>
          <w:numId w:val="2"/>
        </w:numPr>
        <w:spacing w:line="360" w:lineRule="auto"/>
        <w:rPr>
          <w:rFonts w:hint="eastAsia"/>
          <w:sz w:val="28"/>
          <w:szCs w:val="28"/>
        </w:rPr>
      </w:pPr>
      <w:bookmarkStart w:id="3" w:name="_Toc268095267"/>
      <w:r>
        <w:rPr>
          <w:rFonts w:hint="eastAsia"/>
          <w:sz w:val="28"/>
          <w:szCs w:val="28"/>
        </w:rPr>
        <w:t>投标文件的编制</w:t>
      </w:r>
      <w:bookmarkEnd w:id="3"/>
    </w:p>
    <w:p w14:paraId="437BA92B">
      <w:pPr>
        <w:numPr>
          <w:ilvl w:val="0"/>
          <w:numId w:val="4"/>
        </w:numPr>
        <w:spacing w:line="360" w:lineRule="auto"/>
        <w:rPr>
          <w:rFonts w:hint="eastAsia"/>
          <w:sz w:val="24"/>
        </w:rPr>
      </w:pPr>
      <w:r>
        <w:rPr>
          <w:rFonts w:hint="eastAsia"/>
          <w:b/>
          <w:sz w:val="24"/>
        </w:rPr>
        <w:t>编制前的准备：</w:t>
      </w:r>
      <w:r>
        <w:rPr>
          <w:rFonts w:hint="eastAsia"/>
          <w:sz w:val="24"/>
        </w:rPr>
        <w:t>编制投标文件前，投标方应仔细阅读招标文件，了解招标文件的要求（包括产品的技术要求和商务条件），充分考虑自身潜力和各种可能的风险。</w:t>
      </w:r>
    </w:p>
    <w:p w14:paraId="0FBFEE50">
      <w:pPr>
        <w:numPr>
          <w:ilvl w:val="0"/>
          <w:numId w:val="4"/>
        </w:numPr>
        <w:spacing w:line="360" w:lineRule="auto"/>
        <w:rPr>
          <w:rFonts w:hint="eastAsia"/>
          <w:b/>
          <w:sz w:val="24"/>
        </w:rPr>
      </w:pPr>
      <w:r>
        <w:rPr>
          <w:rFonts w:hint="eastAsia"/>
          <w:b/>
          <w:sz w:val="24"/>
        </w:rPr>
        <w:t>投标文件的组成：</w:t>
      </w:r>
      <w:r>
        <w:rPr>
          <w:rFonts w:hint="eastAsia"/>
          <w:sz w:val="24"/>
        </w:rPr>
        <w:t>投标方的投标文件应包括技术标和商务标</w:t>
      </w:r>
      <w:r>
        <w:rPr>
          <w:rFonts w:hint="eastAsia"/>
          <w:sz w:val="24"/>
          <w:lang w:eastAsia="zh-CN"/>
        </w:rPr>
        <w:t>两</w:t>
      </w:r>
      <w:r>
        <w:rPr>
          <w:rFonts w:hint="eastAsia"/>
          <w:sz w:val="24"/>
        </w:rPr>
        <w:t>部分。</w:t>
      </w:r>
    </w:p>
    <w:p w14:paraId="2988232B">
      <w:pPr>
        <w:numPr>
          <w:ilvl w:val="1"/>
          <w:numId w:val="4"/>
        </w:numPr>
        <w:spacing w:line="360" w:lineRule="auto"/>
        <w:rPr>
          <w:rFonts w:hint="eastAsia"/>
          <w:sz w:val="24"/>
        </w:rPr>
      </w:pPr>
      <w:r>
        <w:rPr>
          <w:rFonts w:hint="eastAsia"/>
          <w:sz w:val="24"/>
        </w:rPr>
        <w:t>第一部分：技术标（是否需要制作技术标见招标要求明细表要求）。投标方按投标文件样本自行编制技术标。</w:t>
      </w:r>
    </w:p>
    <w:p w14:paraId="18E1314E">
      <w:pPr>
        <w:numPr>
          <w:ilvl w:val="1"/>
          <w:numId w:val="4"/>
        </w:numPr>
        <w:spacing w:line="360" w:lineRule="auto"/>
        <w:rPr>
          <w:rFonts w:hint="eastAsia"/>
          <w:sz w:val="24"/>
        </w:rPr>
      </w:pPr>
      <w:r>
        <w:rPr>
          <w:rFonts w:hint="eastAsia"/>
          <w:sz w:val="24"/>
        </w:rPr>
        <w:t>第二部分：商务标。商务报价所需见附件。</w:t>
      </w:r>
    </w:p>
    <w:p w14:paraId="038FEA25">
      <w:pPr>
        <w:numPr>
          <w:ilvl w:val="0"/>
          <w:numId w:val="5"/>
        </w:numPr>
        <w:spacing w:line="360" w:lineRule="auto"/>
        <w:rPr>
          <w:rFonts w:hint="eastAsia"/>
          <w:sz w:val="24"/>
        </w:rPr>
      </w:pPr>
      <w:r>
        <w:rPr>
          <w:rFonts w:hint="eastAsia"/>
          <w:sz w:val="24"/>
        </w:rPr>
        <w:t>授权委托书；</w:t>
      </w:r>
    </w:p>
    <w:p w14:paraId="06F4FD4A">
      <w:pPr>
        <w:numPr>
          <w:ilvl w:val="0"/>
          <w:numId w:val="5"/>
        </w:numPr>
        <w:spacing w:line="360" w:lineRule="auto"/>
        <w:rPr>
          <w:rFonts w:hint="eastAsia"/>
          <w:sz w:val="24"/>
        </w:rPr>
      </w:pPr>
      <w:r>
        <w:rPr>
          <w:rFonts w:hint="eastAsia"/>
          <w:sz w:val="24"/>
        </w:rPr>
        <w:t>投标函；</w:t>
      </w:r>
    </w:p>
    <w:p w14:paraId="7F037FDC">
      <w:pPr>
        <w:numPr>
          <w:ilvl w:val="0"/>
          <w:numId w:val="5"/>
        </w:numPr>
        <w:spacing w:line="360" w:lineRule="auto"/>
        <w:rPr>
          <w:rFonts w:hint="eastAsia"/>
          <w:sz w:val="24"/>
        </w:rPr>
      </w:pPr>
      <w:r>
        <w:rPr>
          <w:rFonts w:hint="eastAsia"/>
          <w:sz w:val="24"/>
        </w:rPr>
        <w:t>投标报价表；</w:t>
      </w:r>
    </w:p>
    <w:p w14:paraId="00C2D6AC">
      <w:pPr>
        <w:numPr>
          <w:ilvl w:val="0"/>
          <w:numId w:val="4"/>
        </w:numPr>
        <w:spacing w:line="360" w:lineRule="auto"/>
        <w:rPr>
          <w:rFonts w:hint="eastAsia"/>
          <w:sz w:val="24"/>
        </w:rPr>
      </w:pPr>
      <w:r>
        <w:rPr>
          <w:rFonts w:hint="eastAsia"/>
          <w:b/>
          <w:sz w:val="24"/>
        </w:rPr>
        <w:t>投标文件的格式：</w:t>
      </w:r>
      <w:r>
        <w:rPr>
          <w:rFonts w:hint="eastAsia"/>
          <w:sz w:val="24"/>
        </w:rPr>
        <w:t>投标方应使用招标文件中提供的投标文件样本。表格不够用时，可以按同样格式扩展。</w:t>
      </w:r>
    </w:p>
    <w:p w14:paraId="28155752">
      <w:pPr>
        <w:numPr>
          <w:ilvl w:val="0"/>
          <w:numId w:val="4"/>
        </w:numPr>
        <w:spacing w:line="360" w:lineRule="auto"/>
        <w:rPr>
          <w:rFonts w:hint="eastAsia"/>
          <w:sz w:val="24"/>
        </w:rPr>
      </w:pPr>
      <w:r>
        <w:rPr>
          <w:rFonts w:hint="eastAsia"/>
          <w:b/>
          <w:sz w:val="24"/>
        </w:rPr>
        <w:t>投标报价</w:t>
      </w:r>
    </w:p>
    <w:p w14:paraId="396E5511">
      <w:pPr>
        <w:numPr>
          <w:ilvl w:val="1"/>
          <w:numId w:val="4"/>
        </w:numPr>
        <w:spacing w:line="360" w:lineRule="auto"/>
        <w:rPr>
          <w:rFonts w:hint="eastAsia"/>
          <w:sz w:val="24"/>
        </w:rPr>
      </w:pPr>
      <w:r>
        <w:rPr>
          <w:rFonts w:hint="eastAsia"/>
          <w:b/>
          <w:sz w:val="24"/>
        </w:rPr>
        <w:t>报价范围</w:t>
      </w:r>
      <w:r>
        <w:rPr>
          <w:rFonts w:hint="eastAsia"/>
          <w:sz w:val="24"/>
        </w:rPr>
        <w:t>：</w:t>
      </w:r>
    </w:p>
    <w:p w14:paraId="7206395D">
      <w:pPr>
        <w:spacing w:line="360" w:lineRule="auto"/>
        <w:jc w:val="left"/>
        <w:rPr>
          <w:rFonts w:hint="eastAsia"/>
          <w:sz w:val="24"/>
        </w:rPr>
      </w:pPr>
      <w:r>
        <w:rPr>
          <w:rFonts w:hint="eastAsia"/>
          <w:sz w:val="24"/>
        </w:rPr>
        <w:t>1</w:t>
      </w:r>
      <w:r>
        <w:rPr>
          <w:sz w:val="24"/>
        </w:rPr>
        <w:t>2.1.1</w:t>
      </w:r>
      <w:r>
        <w:rPr>
          <w:rFonts w:hint="eastAsia"/>
          <w:sz w:val="24"/>
        </w:rPr>
        <w:t>投标报价是招标范围内的全部商品的价格体现。</w:t>
      </w:r>
    </w:p>
    <w:p w14:paraId="32612A68">
      <w:pPr>
        <w:spacing w:line="360" w:lineRule="auto"/>
        <w:jc w:val="left"/>
        <w:rPr>
          <w:rFonts w:hint="eastAsia"/>
          <w:sz w:val="24"/>
        </w:rPr>
      </w:pPr>
      <w:r>
        <w:rPr>
          <w:sz w:val="24"/>
        </w:rPr>
        <w:t>12.1.2</w:t>
      </w:r>
      <w:r>
        <w:rPr>
          <w:rFonts w:hint="eastAsia"/>
          <w:sz w:val="24"/>
        </w:rPr>
        <w:t>投标方计算各项费用时，应根据招标事项的特点并结合市场行情及投标方自身状况，考虑各项可能发生的风险费用。</w:t>
      </w:r>
    </w:p>
    <w:p w14:paraId="4CA4FB16">
      <w:pPr>
        <w:spacing w:line="360" w:lineRule="auto"/>
        <w:jc w:val="left"/>
        <w:rPr>
          <w:rFonts w:hint="eastAsia"/>
          <w:sz w:val="24"/>
        </w:rPr>
      </w:pPr>
      <w:r>
        <w:rPr>
          <w:sz w:val="24"/>
        </w:rPr>
        <w:t>12.1.3</w:t>
      </w:r>
      <w:r>
        <w:rPr>
          <w:rFonts w:hint="eastAsia"/>
          <w:sz w:val="24"/>
        </w:rPr>
        <w:t>一旦中标，投标方不得要求招标方在投标报价之外增加任何费用或支出。</w:t>
      </w:r>
    </w:p>
    <w:p w14:paraId="0959CF4C">
      <w:pPr>
        <w:numPr>
          <w:ilvl w:val="1"/>
          <w:numId w:val="4"/>
        </w:numPr>
        <w:spacing w:line="360" w:lineRule="auto"/>
        <w:rPr>
          <w:rFonts w:hint="eastAsia"/>
          <w:sz w:val="24"/>
        </w:rPr>
      </w:pPr>
      <w:r>
        <w:rPr>
          <w:rFonts w:hint="eastAsia"/>
          <w:b/>
          <w:sz w:val="24"/>
        </w:rPr>
        <w:t>报价依据</w:t>
      </w:r>
      <w:r>
        <w:rPr>
          <w:rFonts w:hint="eastAsia"/>
          <w:sz w:val="24"/>
        </w:rPr>
        <w:t>：</w:t>
      </w:r>
    </w:p>
    <w:p w14:paraId="0250901D">
      <w:pPr>
        <w:spacing w:line="360" w:lineRule="auto"/>
        <w:rPr>
          <w:rFonts w:hint="eastAsia"/>
          <w:sz w:val="24"/>
        </w:rPr>
      </w:pPr>
      <w:r>
        <w:rPr>
          <w:rFonts w:hint="eastAsia"/>
          <w:sz w:val="24"/>
        </w:rPr>
        <w:t>1</w:t>
      </w:r>
      <w:r>
        <w:rPr>
          <w:sz w:val="24"/>
        </w:rPr>
        <w:t>2.2.1</w:t>
      </w:r>
      <w:r>
        <w:rPr>
          <w:rFonts w:hint="eastAsia"/>
          <w:sz w:val="24"/>
        </w:rPr>
        <w:t>投标方应依据招标文件、补充通知及答疑纪要中提出的技术、质量、工期（供货期）等具体要求，并结合投标方自身实力、市场行情及预期走势等情况确定投标报价。</w:t>
      </w:r>
    </w:p>
    <w:p w14:paraId="25DD3707">
      <w:pPr>
        <w:spacing w:line="360" w:lineRule="auto"/>
        <w:rPr>
          <w:rFonts w:hint="eastAsia"/>
          <w:sz w:val="24"/>
        </w:rPr>
      </w:pPr>
      <w:r>
        <w:rPr>
          <w:sz w:val="24"/>
        </w:rPr>
        <w:t>12.2.2</w:t>
      </w:r>
      <w:r>
        <w:rPr>
          <w:rFonts w:hint="eastAsia"/>
          <w:sz w:val="24"/>
        </w:rPr>
        <w:t>投标方应报出最能反映自身竞争力的价格。</w:t>
      </w:r>
    </w:p>
    <w:p w14:paraId="6A4BD3ED">
      <w:pPr>
        <w:numPr>
          <w:ilvl w:val="1"/>
          <w:numId w:val="4"/>
        </w:numPr>
        <w:spacing w:line="360" w:lineRule="auto"/>
        <w:rPr>
          <w:rFonts w:hint="eastAsia"/>
          <w:sz w:val="24"/>
        </w:rPr>
      </w:pPr>
      <w:r>
        <w:rPr>
          <w:rFonts w:hint="eastAsia"/>
          <w:b/>
          <w:sz w:val="24"/>
        </w:rPr>
        <w:t>单价与合价</w:t>
      </w:r>
      <w:r>
        <w:rPr>
          <w:rFonts w:hint="eastAsia"/>
          <w:sz w:val="24"/>
        </w:rPr>
        <w:t>：投标方应根据招标方提供的商品明细表填报单价和合价。投标方没有填写单价和合价的项目将不予支付。</w:t>
      </w:r>
    </w:p>
    <w:p w14:paraId="3A579594">
      <w:pPr>
        <w:numPr>
          <w:ilvl w:val="1"/>
          <w:numId w:val="4"/>
        </w:numPr>
        <w:spacing w:line="360" w:lineRule="auto"/>
        <w:rPr>
          <w:rFonts w:hint="eastAsia"/>
          <w:sz w:val="24"/>
        </w:rPr>
      </w:pPr>
      <w:r>
        <w:rPr>
          <w:rFonts w:hint="eastAsia"/>
          <w:b/>
          <w:sz w:val="24"/>
        </w:rPr>
        <w:t>报价方式</w:t>
      </w:r>
      <w:r>
        <w:rPr>
          <w:rFonts w:hint="eastAsia"/>
          <w:sz w:val="24"/>
        </w:rPr>
        <w:t>：见招标要求明细表。</w:t>
      </w:r>
    </w:p>
    <w:p w14:paraId="0D73DCE7">
      <w:pPr>
        <w:numPr>
          <w:ilvl w:val="1"/>
          <w:numId w:val="4"/>
        </w:numPr>
        <w:spacing w:line="360" w:lineRule="auto"/>
        <w:rPr>
          <w:rFonts w:hint="eastAsia"/>
          <w:sz w:val="24"/>
        </w:rPr>
      </w:pPr>
      <w:r>
        <w:rPr>
          <w:rFonts w:hint="eastAsia"/>
          <w:b/>
          <w:sz w:val="24"/>
        </w:rPr>
        <w:t>报价单位</w:t>
      </w:r>
      <w:r>
        <w:rPr>
          <w:rFonts w:hint="eastAsia"/>
          <w:sz w:val="24"/>
        </w:rPr>
        <w:t>：投标报价以人民币为货币单位，最小单位为元。</w:t>
      </w:r>
    </w:p>
    <w:p w14:paraId="5EFF9E92">
      <w:pPr>
        <w:numPr>
          <w:ilvl w:val="0"/>
          <w:numId w:val="4"/>
        </w:numPr>
        <w:spacing w:line="360" w:lineRule="auto"/>
        <w:rPr>
          <w:rFonts w:hint="eastAsia"/>
          <w:b/>
          <w:sz w:val="24"/>
        </w:rPr>
      </w:pPr>
      <w:r>
        <w:rPr>
          <w:rFonts w:hint="eastAsia"/>
          <w:b/>
          <w:sz w:val="24"/>
        </w:rPr>
        <w:t xml:space="preserve">投标文件有效期 </w:t>
      </w:r>
    </w:p>
    <w:p w14:paraId="505D81D7">
      <w:pPr>
        <w:numPr>
          <w:ilvl w:val="1"/>
          <w:numId w:val="4"/>
        </w:numPr>
        <w:spacing w:line="360" w:lineRule="auto"/>
        <w:rPr>
          <w:rFonts w:hint="eastAsia"/>
          <w:sz w:val="24"/>
        </w:rPr>
      </w:pPr>
      <w:r>
        <w:rPr>
          <w:rFonts w:hint="eastAsia"/>
          <w:sz w:val="24"/>
        </w:rPr>
        <w:t>投标文件应从开标之日起，在招标要求明细表所规定的投标有效期内有效。投标文件声明的投标有效期比规定短的，应视为未响应招标文件被拒绝。</w:t>
      </w:r>
    </w:p>
    <w:p w14:paraId="16FFFB2D">
      <w:pPr>
        <w:numPr>
          <w:ilvl w:val="1"/>
          <w:numId w:val="4"/>
        </w:numPr>
        <w:spacing w:line="360" w:lineRule="auto"/>
        <w:rPr>
          <w:rFonts w:hint="eastAsia"/>
          <w:sz w:val="24"/>
        </w:rPr>
      </w:pPr>
      <w:r>
        <w:rPr>
          <w:rFonts w:hint="eastAsia"/>
          <w:sz w:val="24"/>
        </w:rPr>
        <w:t>在特殊情况下，在原投标有效期期满之前，招标方可以征得投标方同意延长投标有效期。这种要求与答复均应以书面形式做出。投标方可以拒绝招标方的这种要求。同意延长的投标方既不能要求也不允许修改其投标文件。</w:t>
      </w:r>
    </w:p>
    <w:p w14:paraId="073427F1">
      <w:pPr>
        <w:numPr>
          <w:ilvl w:val="0"/>
          <w:numId w:val="4"/>
        </w:numPr>
        <w:spacing w:line="360" w:lineRule="auto"/>
        <w:rPr>
          <w:rFonts w:hint="eastAsia"/>
          <w:b/>
          <w:sz w:val="24"/>
        </w:rPr>
      </w:pPr>
      <w:r>
        <w:rPr>
          <w:rFonts w:hint="eastAsia"/>
          <w:b/>
          <w:sz w:val="24"/>
        </w:rPr>
        <w:t>投标文件的份数和签署</w:t>
      </w:r>
    </w:p>
    <w:p w14:paraId="5DEBEECB">
      <w:pPr>
        <w:numPr>
          <w:ilvl w:val="1"/>
          <w:numId w:val="4"/>
        </w:numPr>
        <w:spacing w:line="360" w:lineRule="auto"/>
        <w:rPr>
          <w:rFonts w:hint="eastAsia"/>
          <w:sz w:val="24"/>
        </w:rPr>
      </w:pPr>
      <w:r>
        <w:rPr>
          <w:rFonts w:hint="eastAsia"/>
          <w:sz w:val="24"/>
        </w:rPr>
        <w:t>投标方编制投标文件正本1份，副本份按《招标要求明细表》执行。投标文件正本与副本如有不一致之处，以正本为准。</w:t>
      </w:r>
    </w:p>
    <w:p w14:paraId="25FAF269">
      <w:pPr>
        <w:numPr>
          <w:ilvl w:val="1"/>
          <w:numId w:val="4"/>
        </w:numPr>
        <w:spacing w:line="360" w:lineRule="auto"/>
        <w:rPr>
          <w:rFonts w:hint="eastAsia"/>
          <w:sz w:val="24"/>
        </w:rPr>
      </w:pPr>
      <w:r>
        <w:rPr>
          <w:rFonts w:hint="eastAsia"/>
          <w:sz w:val="24"/>
        </w:rPr>
        <w:t>投标文件封面要求有“正本”或“副本”字样，并由投标方加盖公章。</w:t>
      </w:r>
    </w:p>
    <w:p w14:paraId="0A8596A7">
      <w:pPr>
        <w:numPr>
          <w:ilvl w:val="1"/>
          <w:numId w:val="4"/>
        </w:numPr>
        <w:spacing w:line="360" w:lineRule="auto"/>
        <w:rPr>
          <w:rFonts w:hint="eastAsia"/>
          <w:sz w:val="24"/>
        </w:rPr>
      </w:pPr>
      <w:r>
        <w:rPr>
          <w:rFonts w:hint="eastAsia"/>
          <w:sz w:val="24"/>
        </w:rPr>
        <w:t>全套投标文件应无涂改和行间插字，除非这些删改是根据招标方的指示进行的，或者投标方造成的必须修改的错误，且修改处应由投标文件签字人签字证明并加盖公章。</w:t>
      </w:r>
    </w:p>
    <w:p w14:paraId="282311D7">
      <w:pPr>
        <w:numPr>
          <w:ilvl w:val="1"/>
          <w:numId w:val="4"/>
        </w:numPr>
        <w:spacing w:line="360" w:lineRule="auto"/>
        <w:rPr>
          <w:rFonts w:hint="eastAsia"/>
          <w:sz w:val="24"/>
        </w:rPr>
      </w:pPr>
      <w:r>
        <w:rPr>
          <w:rFonts w:hint="eastAsia"/>
          <w:sz w:val="24"/>
        </w:rPr>
        <w:t>全套招标文件应无撕页、粘页等现象。</w:t>
      </w:r>
    </w:p>
    <w:p w14:paraId="0C31E714">
      <w:pPr>
        <w:numPr>
          <w:ilvl w:val="1"/>
          <w:numId w:val="4"/>
        </w:numPr>
        <w:spacing w:line="360" w:lineRule="auto"/>
        <w:rPr>
          <w:rFonts w:hint="eastAsia"/>
          <w:b/>
          <w:sz w:val="24"/>
        </w:rPr>
      </w:pPr>
      <w:r>
        <w:rPr>
          <w:rFonts w:hint="eastAsia"/>
          <w:b/>
          <w:sz w:val="24"/>
        </w:rPr>
        <w:t>不符合以上要求的作废标处理。</w:t>
      </w:r>
    </w:p>
    <w:p w14:paraId="2E539F55">
      <w:pPr>
        <w:pStyle w:val="3"/>
        <w:numPr>
          <w:ilvl w:val="0"/>
          <w:numId w:val="2"/>
        </w:numPr>
        <w:spacing w:line="360" w:lineRule="auto"/>
        <w:rPr>
          <w:rFonts w:hint="eastAsia"/>
          <w:sz w:val="28"/>
          <w:szCs w:val="24"/>
        </w:rPr>
      </w:pPr>
      <w:bookmarkStart w:id="4" w:name="_Toc268095268"/>
      <w:r>
        <w:rPr>
          <w:rFonts w:hint="eastAsia"/>
          <w:sz w:val="28"/>
          <w:szCs w:val="24"/>
        </w:rPr>
        <w:t>投标文件的递交</w:t>
      </w:r>
      <w:bookmarkEnd w:id="4"/>
    </w:p>
    <w:p w14:paraId="11EA83C8">
      <w:pPr>
        <w:numPr>
          <w:ilvl w:val="0"/>
          <w:numId w:val="4"/>
        </w:numPr>
        <w:spacing w:line="360" w:lineRule="auto"/>
        <w:rPr>
          <w:rFonts w:hint="eastAsia"/>
          <w:b/>
          <w:sz w:val="24"/>
        </w:rPr>
      </w:pPr>
      <w:r>
        <w:rPr>
          <w:rFonts w:hint="eastAsia"/>
          <w:b/>
          <w:sz w:val="24"/>
        </w:rPr>
        <w:t>密封与标志</w:t>
      </w:r>
    </w:p>
    <w:p w14:paraId="18AF5A53">
      <w:pPr>
        <w:numPr>
          <w:ilvl w:val="1"/>
          <w:numId w:val="4"/>
        </w:numPr>
        <w:spacing w:line="360" w:lineRule="auto"/>
        <w:rPr>
          <w:rFonts w:hint="eastAsia"/>
          <w:sz w:val="24"/>
        </w:rPr>
      </w:pPr>
      <w:r>
        <w:rPr>
          <w:rFonts w:hint="eastAsia"/>
          <w:sz w:val="24"/>
        </w:rPr>
        <w:t>投标文件分为商务标和技术标二部分的，应分开装订并严格密封。资格证明文件单独包装，不需要密封。</w:t>
      </w:r>
    </w:p>
    <w:p w14:paraId="0EA86E4D">
      <w:pPr>
        <w:numPr>
          <w:ilvl w:val="1"/>
          <w:numId w:val="4"/>
        </w:numPr>
        <w:spacing w:line="360" w:lineRule="auto"/>
        <w:rPr>
          <w:rFonts w:hint="eastAsia"/>
          <w:sz w:val="24"/>
        </w:rPr>
      </w:pPr>
      <w:r>
        <w:rPr>
          <w:rFonts w:hint="eastAsia"/>
          <w:sz w:val="24"/>
        </w:rPr>
        <w:t>密封袋外皮应写明招标方、招标事项、投标方名称并加盖公章。</w:t>
      </w:r>
    </w:p>
    <w:p w14:paraId="760A2C9E">
      <w:pPr>
        <w:numPr>
          <w:ilvl w:val="1"/>
          <w:numId w:val="4"/>
        </w:numPr>
        <w:spacing w:line="360" w:lineRule="auto"/>
        <w:rPr>
          <w:rFonts w:hint="eastAsia"/>
          <w:sz w:val="24"/>
        </w:rPr>
      </w:pPr>
      <w:r>
        <w:rPr>
          <w:rFonts w:hint="eastAsia"/>
          <w:sz w:val="24"/>
        </w:rPr>
        <w:t>不按以上要求密封的作废标处理。</w:t>
      </w:r>
    </w:p>
    <w:p w14:paraId="70D1AA03">
      <w:pPr>
        <w:numPr>
          <w:ilvl w:val="0"/>
          <w:numId w:val="4"/>
        </w:numPr>
        <w:spacing w:line="360" w:lineRule="auto"/>
        <w:rPr>
          <w:rFonts w:hint="eastAsia"/>
          <w:b/>
          <w:sz w:val="24"/>
        </w:rPr>
      </w:pPr>
      <w:r>
        <w:rPr>
          <w:rFonts w:hint="eastAsia"/>
          <w:b/>
          <w:sz w:val="24"/>
        </w:rPr>
        <w:t>递交</w:t>
      </w:r>
    </w:p>
    <w:p w14:paraId="75EE2F3F">
      <w:pPr>
        <w:numPr>
          <w:ilvl w:val="1"/>
          <w:numId w:val="4"/>
        </w:numPr>
        <w:spacing w:line="360" w:lineRule="auto"/>
        <w:rPr>
          <w:rFonts w:hint="eastAsia"/>
          <w:sz w:val="24"/>
        </w:rPr>
      </w:pPr>
      <w:r>
        <w:rPr>
          <w:rFonts w:hint="eastAsia"/>
          <w:sz w:val="24"/>
        </w:rPr>
        <w:t>投标方应当派员向招标方递交投标文件。</w:t>
      </w:r>
    </w:p>
    <w:p w14:paraId="3F46D022">
      <w:pPr>
        <w:numPr>
          <w:ilvl w:val="1"/>
          <w:numId w:val="4"/>
        </w:numPr>
        <w:spacing w:line="360" w:lineRule="auto"/>
        <w:rPr>
          <w:rFonts w:hint="eastAsia"/>
          <w:sz w:val="24"/>
        </w:rPr>
      </w:pPr>
      <w:r>
        <w:rPr>
          <w:rFonts w:hint="eastAsia"/>
          <w:sz w:val="24"/>
        </w:rPr>
        <w:t>招标方地址及投标文件接收人，见招标要求明细表。</w:t>
      </w:r>
    </w:p>
    <w:p w14:paraId="0FEF7F44">
      <w:pPr>
        <w:numPr>
          <w:ilvl w:val="0"/>
          <w:numId w:val="4"/>
        </w:numPr>
        <w:spacing w:line="360" w:lineRule="auto"/>
        <w:rPr>
          <w:rFonts w:hint="eastAsia"/>
          <w:b/>
          <w:sz w:val="24"/>
        </w:rPr>
      </w:pPr>
      <w:r>
        <w:rPr>
          <w:rFonts w:hint="eastAsia"/>
          <w:b/>
          <w:sz w:val="24"/>
        </w:rPr>
        <w:t>投标截止时间</w:t>
      </w:r>
    </w:p>
    <w:p w14:paraId="7AC772E8">
      <w:pPr>
        <w:numPr>
          <w:ilvl w:val="1"/>
          <w:numId w:val="4"/>
        </w:numPr>
        <w:spacing w:line="360" w:lineRule="auto"/>
        <w:rPr>
          <w:rFonts w:hint="eastAsia"/>
          <w:sz w:val="24"/>
        </w:rPr>
      </w:pPr>
      <w:r>
        <w:rPr>
          <w:rFonts w:hint="eastAsia"/>
          <w:sz w:val="24"/>
        </w:rPr>
        <w:t>投标方须在招标要求明细表规定的投标截止时间前递交投标文件，逾期送达的投标文件作废标处理。</w:t>
      </w:r>
    </w:p>
    <w:p w14:paraId="0B9B3706">
      <w:pPr>
        <w:numPr>
          <w:ilvl w:val="1"/>
          <w:numId w:val="4"/>
        </w:numPr>
        <w:spacing w:line="360" w:lineRule="auto"/>
        <w:rPr>
          <w:rFonts w:hint="eastAsia"/>
          <w:sz w:val="24"/>
        </w:rPr>
      </w:pPr>
      <w:r>
        <w:rPr>
          <w:rFonts w:hint="eastAsia"/>
          <w:sz w:val="24"/>
        </w:rPr>
        <w:t>招标方可以酌情延长投标截止时间。上述情况下，招标方与投标方在投标截止时间方面的全部权利、责任和义务，将适用于延长后新的投标截止时间。</w:t>
      </w:r>
    </w:p>
    <w:p w14:paraId="2A94D583">
      <w:pPr>
        <w:numPr>
          <w:ilvl w:val="0"/>
          <w:numId w:val="4"/>
        </w:numPr>
        <w:spacing w:line="360" w:lineRule="auto"/>
        <w:rPr>
          <w:rFonts w:hint="eastAsia"/>
          <w:b/>
          <w:sz w:val="24"/>
        </w:rPr>
      </w:pPr>
      <w:r>
        <w:rPr>
          <w:rFonts w:hint="eastAsia"/>
          <w:b/>
          <w:sz w:val="24"/>
        </w:rPr>
        <w:t>投标文件的修改与撤回</w:t>
      </w:r>
    </w:p>
    <w:p w14:paraId="5EE466F2">
      <w:pPr>
        <w:numPr>
          <w:ilvl w:val="1"/>
          <w:numId w:val="4"/>
        </w:numPr>
        <w:spacing w:line="360" w:lineRule="auto"/>
        <w:rPr>
          <w:rFonts w:hint="eastAsia"/>
          <w:sz w:val="24"/>
        </w:rPr>
      </w:pPr>
      <w:r>
        <w:rPr>
          <w:rFonts w:hint="eastAsia"/>
          <w:sz w:val="24"/>
        </w:rPr>
        <w:t>投标方递交投标文件以后，在规定的投标截止时间之前，可以书面形式提出补充、修改其投标文件。在投标截止时间以后，不能修改投标文件。</w:t>
      </w:r>
    </w:p>
    <w:p w14:paraId="52424F0B">
      <w:pPr>
        <w:numPr>
          <w:ilvl w:val="1"/>
          <w:numId w:val="4"/>
        </w:numPr>
        <w:spacing w:line="360" w:lineRule="auto"/>
        <w:rPr>
          <w:rFonts w:hint="eastAsia"/>
          <w:sz w:val="24"/>
        </w:rPr>
      </w:pPr>
      <w:r>
        <w:rPr>
          <w:rFonts w:hint="eastAsia"/>
          <w:sz w:val="24"/>
        </w:rPr>
        <w:t>投标方的补充修改，应按规定编制、密封、标志和递交，并在密封袋上标明“修改”字样。</w:t>
      </w:r>
    </w:p>
    <w:p w14:paraId="19C734D6">
      <w:pPr>
        <w:numPr>
          <w:ilvl w:val="1"/>
          <w:numId w:val="4"/>
        </w:numPr>
        <w:spacing w:line="360" w:lineRule="auto"/>
        <w:rPr>
          <w:rFonts w:hint="eastAsia"/>
          <w:sz w:val="24"/>
        </w:rPr>
      </w:pPr>
      <w:r>
        <w:rPr>
          <w:rFonts w:hint="eastAsia"/>
          <w:sz w:val="24"/>
        </w:rPr>
        <w:t>多个投标文件间有冲突的部分，以最后接收的投标文件内容为准。</w:t>
      </w:r>
    </w:p>
    <w:p w14:paraId="1BC64053">
      <w:pPr>
        <w:numPr>
          <w:ilvl w:val="1"/>
          <w:numId w:val="4"/>
        </w:numPr>
        <w:spacing w:line="360" w:lineRule="auto"/>
        <w:rPr>
          <w:rFonts w:hint="eastAsia"/>
          <w:sz w:val="24"/>
        </w:rPr>
      </w:pPr>
      <w:r>
        <w:rPr>
          <w:rFonts w:hint="eastAsia"/>
          <w:sz w:val="24"/>
        </w:rPr>
        <w:t>投标方可以撤回投标文件，撤回通知应当以书面形式做出并在开标时间前送达招标方。</w:t>
      </w:r>
    </w:p>
    <w:p w14:paraId="67327761">
      <w:pPr>
        <w:pStyle w:val="3"/>
        <w:numPr>
          <w:ilvl w:val="0"/>
          <w:numId w:val="2"/>
        </w:numPr>
        <w:spacing w:line="360" w:lineRule="auto"/>
        <w:rPr>
          <w:rFonts w:hint="eastAsia"/>
          <w:sz w:val="28"/>
          <w:szCs w:val="24"/>
        </w:rPr>
      </w:pPr>
      <w:bookmarkStart w:id="5" w:name="_Toc268095269"/>
      <w:r>
        <w:rPr>
          <w:rFonts w:hint="eastAsia"/>
          <w:sz w:val="28"/>
          <w:szCs w:val="24"/>
        </w:rPr>
        <w:t>开标与评标</w:t>
      </w:r>
      <w:bookmarkEnd w:id="5"/>
    </w:p>
    <w:p w14:paraId="216F4DA1">
      <w:pPr>
        <w:numPr>
          <w:ilvl w:val="0"/>
          <w:numId w:val="4"/>
        </w:numPr>
        <w:spacing w:line="360" w:lineRule="auto"/>
        <w:rPr>
          <w:rFonts w:hint="eastAsia"/>
          <w:b/>
          <w:sz w:val="24"/>
        </w:rPr>
      </w:pPr>
      <w:r>
        <w:rPr>
          <w:rFonts w:hint="eastAsia"/>
          <w:b/>
          <w:sz w:val="24"/>
        </w:rPr>
        <w:t>开标</w:t>
      </w:r>
    </w:p>
    <w:p w14:paraId="3D781A60">
      <w:pPr>
        <w:numPr>
          <w:ilvl w:val="1"/>
          <w:numId w:val="4"/>
        </w:numPr>
        <w:spacing w:line="360" w:lineRule="auto"/>
        <w:rPr>
          <w:rFonts w:hint="eastAsia"/>
          <w:sz w:val="24"/>
        </w:rPr>
      </w:pPr>
      <w:r>
        <w:rPr>
          <w:rFonts w:hint="eastAsia"/>
          <w:b/>
          <w:sz w:val="24"/>
        </w:rPr>
        <w:t>时间和地点</w:t>
      </w:r>
      <w:r>
        <w:rPr>
          <w:rFonts w:hint="eastAsia"/>
          <w:sz w:val="24"/>
        </w:rPr>
        <w:t>：招标方将于招标要求明细表规定的时间和地点举行开标会议。</w:t>
      </w:r>
    </w:p>
    <w:p w14:paraId="774F344D">
      <w:pPr>
        <w:numPr>
          <w:ilvl w:val="1"/>
          <w:numId w:val="4"/>
        </w:numPr>
        <w:spacing w:line="360" w:lineRule="auto"/>
        <w:rPr>
          <w:rFonts w:hint="eastAsia"/>
          <w:sz w:val="24"/>
        </w:rPr>
      </w:pPr>
      <w:r>
        <w:rPr>
          <w:rFonts w:hint="eastAsia"/>
          <w:b/>
          <w:sz w:val="24"/>
        </w:rPr>
        <w:t>分阶段评审</w:t>
      </w:r>
      <w:r>
        <w:rPr>
          <w:rFonts w:hint="eastAsia"/>
          <w:sz w:val="24"/>
        </w:rPr>
        <w:t>：</w:t>
      </w:r>
    </w:p>
    <w:p w14:paraId="0A1B0EB9">
      <w:pPr>
        <w:spacing w:line="360" w:lineRule="auto"/>
        <w:rPr>
          <w:rFonts w:hint="eastAsia"/>
          <w:sz w:val="24"/>
        </w:rPr>
      </w:pPr>
      <w:r>
        <w:rPr>
          <w:rFonts w:hint="eastAsia"/>
          <w:sz w:val="24"/>
        </w:rPr>
        <w:t>1</w:t>
      </w:r>
      <w:r>
        <w:rPr>
          <w:sz w:val="24"/>
        </w:rPr>
        <w:t>9.2.1</w:t>
      </w:r>
      <w:r>
        <w:rPr>
          <w:rFonts w:hint="eastAsia"/>
          <w:sz w:val="24"/>
        </w:rPr>
        <w:t>投标文件分为技术标和商务标两部分的，先就技术标进行评审，技术标评审完毕后再进行商务标的开标、评标。</w:t>
      </w:r>
    </w:p>
    <w:p w14:paraId="4E676806">
      <w:pPr>
        <w:spacing w:line="360" w:lineRule="auto"/>
        <w:rPr>
          <w:rFonts w:hint="eastAsia"/>
          <w:sz w:val="24"/>
        </w:rPr>
      </w:pPr>
      <w:r>
        <w:rPr>
          <w:sz w:val="24"/>
        </w:rPr>
        <w:t>19.2.2</w:t>
      </w:r>
      <w:r>
        <w:rPr>
          <w:rFonts w:hint="eastAsia"/>
          <w:sz w:val="24"/>
        </w:rPr>
        <w:t>技术标评审不合格的，投标方无权参加商务标的竞标。</w:t>
      </w:r>
    </w:p>
    <w:p w14:paraId="0A9C66E2">
      <w:pPr>
        <w:spacing w:line="360" w:lineRule="auto"/>
        <w:rPr>
          <w:rFonts w:hint="eastAsia"/>
          <w:sz w:val="24"/>
        </w:rPr>
      </w:pPr>
      <w:r>
        <w:rPr>
          <w:sz w:val="24"/>
        </w:rPr>
        <w:t>19.2.3</w:t>
      </w:r>
      <w:r>
        <w:rPr>
          <w:rFonts w:hint="eastAsia"/>
          <w:sz w:val="24"/>
        </w:rPr>
        <w:t>技术标由招标方组织内部技术委员会进行评审，商务标由招标委员会进行评审。</w:t>
      </w:r>
    </w:p>
    <w:p w14:paraId="6E5CE8CE">
      <w:pPr>
        <w:numPr>
          <w:ilvl w:val="1"/>
          <w:numId w:val="4"/>
        </w:numPr>
        <w:spacing w:line="360" w:lineRule="auto"/>
        <w:rPr>
          <w:rFonts w:hint="eastAsia"/>
          <w:sz w:val="24"/>
        </w:rPr>
      </w:pPr>
      <w:r>
        <w:rPr>
          <w:rFonts w:hint="eastAsia"/>
          <w:b/>
          <w:sz w:val="24"/>
        </w:rPr>
        <w:t>招标委员会成员</w:t>
      </w:r>
      <w:r>
        <w:rPr>
          <w:rFonts w:hint="eastAsia"/>
          <w:sz w:val="24"/>
        </w:rPr>
        <w:t>：由招标方招标委员会全体成员组成。</w:t>
      </w:r>
    </w:p>
    <w:p w14:paraId="523F5516">
      <w:pPr>
        <w:numPr>
          <w:ilvl w:val="1"/>
          <w:numId w:val="4"/>
        </w:numPr>
        <w:spacing w:line="360" w:lineRule="auto"/>
        <w:rPr>
          <w:rFonts w:hint="eastAsia"/>
          <w:b/>
          <w:sz w:val="24"/>
        </w:rPr>
      </w:pPr>
      <w:r>
        <w:rPr>
          <w:rFonts w:hint="eastAsia"/>
          <w:b/>
          <w:sz w:val="24"/>
        </w:rPr>
        <w:t>投标文件的澄清：</w:t>
      </w:r>
      <w:r>
        <w:rPr>
          <w:rFonts w:hint="eastAsia"/>
          <w:sz w:val="24"/>
        </w:rPr>
        <w:t>为了有助于投标文件的审查、评价和比较，招标委员会可以要求投标方澄清其投标文件，有关澄清应以书面方式进行。</w:t>
      </w:r>
    </w:p>
    <w:p w14:paraId="64C26F64">
      <w:pPr>
        <w:numPr>
          <w:ilvl w:val="1"/>
          <w:numId w:val="4"/>
        </w:numPr>
        <w:spacing w:line="360" w:lineRule="auto"/>
        <w:rPr>
          <w:rFonts w:hint="eastAsia"/>
          <w:sz w:val="24"/>
        </w:rPr>
      </w:pPr>
      <w:r>
        <w:rPr>
          <w:rFonts w:hint="eastAsia"/>
          <w:b/>
          <w:sz w:val="24"/>
        </w:rPr>
        <w:t>废标：</w:t>
      </w:r>
      <w:r>
        <w:rPr>
          <w:rFonts w:hint="eastAsia"/>
          <w:sz w:val="24"/>
        </w:rPr>
        <w:t>有下列情形之一将被视无效投标文件（废标）：</w:t>
      </w:r>
    </w:p>
    <w:p w14:paraId="43CBE863">
      <w:pPr>
        <w:numPr>
          <w:ilvl w:val="2"/>
          <w:numId w:val="6"/>
        </w:numPr>
        <w:spacing w:line="360" w:lineRule="auto"/>
        <w:ind w:left="426"/>
        <w:rPr>
          <w:rFonts w:hint="eastAsia"/>
          <w:sz w:val="24"/>
        </w:rPr>
      </w:pPr>
      <w:r>
        <w:rPr>
          <w:rFonts w:hint="eastAsia"/>
          <w:sz w:val="24"/>
        </w:rPr>
        <w:t>投标文件逾期送达的；</w:t>
      </w:r>
    </w:p>
    <w:p w14:paraId="515170B3">
      <w:pPr>
        <w:numPr>
          <w:ilvl w:val="2"/>
          <w:numId w:val="6"/>
        </w:numPr>
        <w:spacing w:line="360" w:lineRule="auto"/>
        <w:ind w:left="426"/>
        <w:rPr>
          <w:rFonts w:hint="eastAsia"/>
          <w:sz w:val="24"/>
        </w:rPr>
      </w:pPr>
      <w:r>
        <w:rPr>
          <w:rFonts w:hint="eastAsia"/>
          <w:sz w:val="24"/>
        </w:rPr>
        <w:t>投标文件未按招标文件要求编制或字迹模糊、辨认不清的；</w:t>
      </w:r>
    </w:p>
    <w:p w14:paraId="38BF94C6">
      <w:pPr>
        <w:numPr>
          <w:ilvl w:val="2"/>
          <w:numId w:val="6"/>
        </w:numPr>
        <w:spacing w:line="360" w:lineRule="auto"/>
        <w:ind w:left="426"/>
        <w:rPr>
          <w:rFonts w:hint="eastAsia"/>
          <w:sz w:val="24"/>
        </w:rPr>
      </w:pPr>
      <w:r>
        <w:rPr>
          <w:rFonts w:hint="eastAsia"/>
          <w:sz w:val="24"/>
        </w:rPr>
        <w:t>投标方串通投标的；</w:t>
      </w:r>
    </w:p>
    <w:p w14:paraId="76BAD1FD">
      <w:pPr>
        <w:numPr>
          <w:ilvl w:val="2"/>
          <w:numId w:val="6"/>
        </w:numPr>
        <w:spacing w:line="360" w:lineRule="auto"/>
        <w:ind w:left="426"/>
        <w:rPr>
          <w:rFonts w:hint="eastAsia"/>
          <w:sz w:val="24"/>
        </w:rPr>
      </w:pPr>
      <w:r>
        <w:rPr>
          <w:rFonts w:hint="eastAsia"/>
          <w:sz w:val="24"/>
        </w:rPr>
        <w:t>投标方提交虚假资格证明文件的；</w:t>
      </w:r>
    </w:p>
    <w:p w14:paraId="5634C491">
      <w:pPr>
        <w:numPr>
          <w:ilvl w:val="2"/>
          <w:numId w:val="6"/>
        </w:numPr>
        <w:spacing w:line="360" w:lineRule="auto"/>
        <w:ind w:left="426"/>
        <w:rPr>
          <w:rFonts w:hint="eastAsia"/>
          <w:sz w:val="24"/>
        </w:rPr>
      </w:pPr>
      <w:r>
        <w:rPr>
          <w:rFonts w:hint="eastAsia"/>
          <w:sz w:val="24"/>
        </w:rPr>
        <w:t>招标文件中规定视为废标的其他情形。</w:t>
      </w:r>
    </w:p>
    <w:p w14:paraId="6492562B">
      <w:pPr>
        <w:spacing w:line="360" w:lineRule="auto"/>
        <w:ind w:left="181" w:leftChars="86" w:firstLine="590" w:firstLineChars="245"/>
        <w:rPr>
          <w:rFonts w:hint="eastAsia"/>
          <w:b/>
          <w:sz w:val="24"/>
        </w:rPr>
      </w:pPr>
      <w:r>
        <w:rPr>
          <w:rFonts w:hint="eastAsia"/>
          <w:b/>
          <w:sz w:val="24"/>
        </w:rPr>
        <w:t>招标委员会不对无效投标文件进行评审。</w:t>
      </w:r>
    </w:p>
    <w:p w14:paraId="5805173A">
      <w:pPr>
        <w:numPr>
          <w:ilvl w:val="0"/>
          <w:numId w:val="4"/>
        </w:numPr>
        <w:spacing w:line="360" w:lineRule="auto"/>
        <w:rPr>
          <w:rFonts w:hint="eastAsia"/>
          <w:b/>
          <w:sz w:val="24"/>
        </w:rPr>
      </w:pPr>
      <w:r>
        <w:rPr>
          <w:rFonts w:hint="eastAsia"/>
          <w:b/>
          <w:sz w:val="24"/>
        </w:rPr>
        <w:t>评标：</w:t>
      </w:r>
    </w:p>
    <w:p w14:paraId="67804A93">
      <w:pPr>
        <w:spacing w:line="360" w:lineRule="auto"/>
        <w:rPr>
          <w:rFonts w:hint="eastAsia"/>
          <w:b/>
          <w:sz w:val="24"/>
        </w:rPr>
      </w:pPr>
      <w:r>
        <w:rPr>
          <w:rFonts w:hint="eastAsia"/>
          <w:sz w:val="24"/>
        </w:rPr>
        <w:t>2</w:t>
      </w:r>
      <w:r>
        <w:rPr>
          <w:sz w:val="24"/>
        </w:rPr>
        <w:t>0.1</w:t>
      </w:r>
      <w:r>
        <w:rPr>
          <w:rFonts w:hint="eastAsia"/>
          <w:sz w:val="24"/>
        </w:rPr>
        <w:t>未单独进行技术标评审的，招标委员会应当首先对投标方的投标资格、技术标准进行评审。</w:t>
      </w:r>
    </w:p>
    <w:p w14:paraId="515BB2A6">
      <w:pPr>
        <w:spacing w:line="360" w:lineRule="auto"/>
        <w:rPr>
          <w:rFonts w:hint="eastAsia"/>
          <w:sz w:val="24"/>
        </w:rPr>
      </w:pPr>
      <w:r>
        <w:rPr>
          <w:sz w:val="24"/>
        </w:rPr>
        <w:t>20.2</w:t>
      </w:r>
      <w:r>
        <w:rPr>
          <w:rFonts w:hint="eastAsia"/>
          <w:sz w:val="24"/>
        </w:rPr>
        <w:t>在投标资格、技术标准符合招标文件要求的条件下，按以下顺序优先确定中标方。</w:t>
      </w:r>
    </w:p>
    <w:p w14:paraId="0845BE1D">
      <w:pPr>
        <w:numPr>
          <w:ilvl w:val="0"/>
          <w:numId w:val="7"/>
        </w:numPr>
        <w:spacing w:line="400" w:lineRule="exact"/>
        <w:rPr>
          <w:rFonts w:hint="eastAsia" w:ascii="宋体" w:hAnsi="宋体"/>
          <w:sz w:val="24"/>
        </w:rPr>
      </w:pPr>
      <w:r>
        <w:rPr>
          <w:rFonts w:hint="eastAsia" w:ascii="宋体" w:hAnsi="宋体"/>
          <w:sz w:val="24"/>
        </w:rPr>
        <w:t>价格：报价由低到高（拆除工程按由高到低的原则）；</w:t>
      </w:r>
    </w:p>
    <w:p w14:paraId="28DA251F">
      <w:pPr>
        <w:numPr>
          <w:ilvl w:val="0"/>
          <w:numId w:val="7"/>
        </w:numPr>
        <w:spacing w:line="400" w:lineRule="exact"/>
        <w:rPr>
          <w:rFonts w:hint="eastAsia" w:ascii="宋体" w:hAnsi="宋体"/>
          <w:sz w:val="24"/>
        </w:rPr>
      </w:pPr>
      <w:r>
        <w:rPr>
          <w:rFonts w:hint="eastAsia" w:ascii="宋体" w:hAnsi="宋体"/>
          <w:sz w:val="24"/>
        </w:rPr>
        <w:t>付款方式：优惠程度由高到低；</w:t>
      </w:r>
    </w:p>
    <w:p w14:paraId="1C6F3740">
      <w:pPr>
        <w:numPr>
          <w:ilvl w:val="0"/>
          <w:numId w:val="7"/>
        </w:numPr>
        <w:spacing w:line="400" w:lineRule="exact"/>
        <w:rPr>
          <w:rFonts w:hint="eastAsia" w:ascii="宋体" w:hAnsi="宋体"/>
          <w:sz w:val="24"/>
        </w:rPr>
      </w:pPr>
      <w:r>
        <w:rPr>
          <w:rFonts w:hint="eastAsia" w:ascii="宋体" w:hAnsi="宋体"/>
          <w:sz w:val="24"/>
        </w:rPr>
        <w:t>工期（供货期）：由短到长；</w:t>
      </w:r>
    </w:p>
    <w:p w14:paraId="5423755D">
      <w:pPr>
        <w:numPr>
          <w:ilvl w:val="0"/>
          <w:numId w:val="7"/>
        </w:numPr>
        <w:spacing w:line="400" w:lineRule="exact"/>
        <w:rPr>
          <w:rFonts w:hint="eastAsia" w:ascii="宋体" w:hAnsi="宋体"/>
          <w:sz w:val="24"/>
        </w:rPr>
      </w:pPr>
      <w:r>
        <w:rPr>
          <w:rFonts w:hint="eastAsia" w:ascii="宋体" w:hAnsi="宋体"/>
          <w:sz w:val="24"/>
        </w:rPr>
        <w:t>技术水平：由高到低；</w:t>
      </w:r>
    </w:p>
    <w:p w14:paraId="0DC2D5F0">
      <w:pPr>
        <w:numPr>
          <w:ilvl w:val="0"/>
          <w:numId w:val="7"/>
        </w:numPr>
        <w:spacing w:line="400" w:lineRule="exact"/>
        <w:rPr>
          <w:rFonts w:hint="eastAsia" w:ascii="宋体" w:hAnsi="宋体"/>
          <w:sz w:val="24"/>
        </w:rPr>
      </w:pPr>
      <w:r>
        <w:rPr>
          <w:rFonts w:hint="eastAsia" w:ascii="宋体" w:hAnsi="宋体"/>
          <w:sz w:val="24"/>
        </w:rPr>
        <w:t>服务：服务承诺由高到低；</w:t>
      </w:r>
    </w:p>
    <w:p w14:paraId="6CA1837A">
      <w:pPr>
        <w:spacing w:line="400" w:lineRule="exact"/>
        <w:rPr>
          <w:rFonts w:hint="eastAsia" w:ascii="宋体" w:hAnsi="宋体"/>
          <w:sz w:val="24"/>
        </w:rPr>
      </w:pPr>
    </w:p>
    <w:p w14:paraId="35398021">
      <w:pPr>
        <w:numPr>
          <w:ilvl w:val="0"/>
          <w:numId w:val="4"/>
        </w:numPr>
        <w:spacing w:line="360" w:lineRule="auto"/>
        <w:rPr>
          <w:rFonts w:hint="eastAsia"/>
          <w:sz w:val="24"/>
        </w:rPr>
      </w:pPr>
      <w:r>
        <w:rPr>
          <w:rFonts w:hint="eastAsia"/>
          <w:sz w:val="24"/>
        </w:rPr>
        <w:t>定标：</w:t>
      </w:r>
      <w:r>
        <w:rPr>
          <w:sz w:val="24"/>
        </w:rPr>
        <w:t>招标委员会</w:t>
      </w:r>
      <w:r>
        <w:rPr>
          <w:rFonts w:hint="eastAsia"/>
          <w:sz w:val="24"/>
        </w:rPr>
        <w:t>可以直接确定中标方，</w:t>
      </w:r>
      <w:r>
        <w:rPr>
          <w:sz w:val="24"/>
        </w:rPr>
        <w:t>无义务向投标方进行任何有关评标</w:t>
      </w:r>
      <w:r>
        <w:rPr>
          <w:rFonts w:hint="eastAsia"/>
          <w:sz w:val="24"/>
        </w:rPr>
        <w:t>、定标</w:t>
      </w:r>
      <w:r>
        <w:rPr>
          <w:sz w:val="24"/>
        </w:rPr>
        <w:t>的解释。</w:t>
      </w:r>
    </w:p>
    <w:p w14:paraId="7D35C126">
      <w:pPr>
        <w:numPr>
          <w:ilvl w:val="0"/>
          <w:numId w:val="4"/>
        </w:numPr>
        <w:spacing w:line="360" w:lineRule="auto"/>
        <w:rPr>
          <w:rFonts w:hint="eastAsia"/>
          <w:sz w:val="24"/>
        </w:rPr>
      </w:pPr>
      <w:r>
        <w:rPr>
          <w:rFonts w:hint="eastAsia"/>
          <w:sz w:val="24"/>
        </w:rPr>
        <w:t>保密：参加谈判、评标的人员不得泄漏评标过程相关内容。投标方也不得打探评标过程及内容，否则将被视为不当行为。</w:t>
      </w:r>
    </w:p>
    <w:p w14:paraId="6CFABA19">
      <w:pPr>
        <w:numPr>
          <w:ilvl w:val="0"/>
          <w:numId w:val="4"/>
        </w:numPr>
        <w:spacing w:line="360" w:lineRule="auto"/>
        <w:rPr>
          <w:sz w:val="24"/>
        </w:rPr>
      </w:pPr>
      <w:r>
        <w:rPr>
          <w:rFonts w:hint="eastAsia"/>
          <w:sz w:val="24"/>
        </w:rPr>
        <w:t>不当行为：</w:t>
      </w:r>
      <w:r>
        <w:rPr>
          <w:sz w:val="24"/>
        </w:rPr>
        <w:t>投标方在评标过程中所进行的企图影响评标结果的不符合</w:t>
      </w:r>
      <w:r>
        <w:rPr>
          <w:rFonts w:hint="eastAsia"/>
          <w:sz w:val="24"/>
        </w:rPr>
        <w:t>法律和道德的行为</w:t>
      </w:r>
      <w:r>
        <w:rPr>
          <w:sz w:val="24"/>
        </w:rPr>
        <w:t>，可能导致其被取消中标资格。</w:t>
      </w:r>
    </w:p>
    <w:p w14:paraId="3E4ADE9A">
      <w:pPr>
        <w:spacing w:line="360" w:lineRule="auto"/>
        <w:rPr>
          <w:rFonts w:hint="eastAsia"/>
          <w:sz w:val="24"/>
        </w:rPr>
      </w:pPr>
    </w:p>
    <w:p w14:paraId="547CC06E">
      <w:pPr>
        <w:spacing w:line="360" w:lineRule="auto"/>
        <w:rPr>
          <w:rFonts w:hint="eastAsia"/>
          <w:sz w:val="24"/>
        </w:rPr>
      </w:pPr>
    </w:p>
    <w:p w14:paraId="38306E8E">
      <w:pPr>
        <w:spacing w:line="360" w:lineRule="auto"/>
        <w:rPr>
          <w:rFonts w:hint="eastAsia"/>
          <w:sz w:val="24"/>
        </w:rPr>
      </w:pPr>
    </w:p>
    <w:p w14:paraId="661B21D8">
      <w:pPr>
        <w:spacing w:line="360" w:lineRule="auto"/>
        <w:rPr>
          <w:rFonts w:hint="eastAsia"/>
          <w:sz w:val="24"/>
        </w:rPr>
      </w:pPr>
    </w:p>
    <w:p w14:paraId="13AF9527">
      <w:pPr>
        <w:rPr>
          <w:rFonts w:hint="eastAsia"/>
          <w:b/>
          <w:bCs/>
          <w:sz w:val="32"/>
          <w:szCs w:val="32"/>
        </w:rPr>
      </w:pPr>
    </w:p>
    <w:p w14:paraId="036C3660">
      <w:pPr>
        <w:jc w:val="center"/>
        <w:rPr>
          <w:rFonts w:hint="eastAsia"/>
          <w:b/>
          <w:bCs/>
          <w:sz w:val="32"/>
          <w:szCs w:val="32"/>
        </w:rPr>
      </w:pPr>
      <w:r>
        <w:rPr>
          <w:rFonts w:hint="eastAsia"/>
          <w:b/>
          <w:bCs/>
          <w:sz w:val="32"/>
          <w:szCs w:val="32"/>
        </w:rPr>
        <w:t>商务标</w:t>
      </w:r>
    </w:p>
    <w:p w14:paraId="34B4C59E">
      <w:pPr>
        <w:spacing w:line="360" w:lineRule="auto"/>
        <w:rPr>
          <w:rFonts w:hint="eastAsia"/>
          <w:sz w:val="24"/>
        </w:rPr>
      </w:pPr>
      <w:r>
        <w:rPr>
          <w:rFonts w:hint="eastAsia"/>
          <w:sz w:val="24"/>
        </w:rPr>
        <w:t>一、授权委托书</w:t>
      </w:r>
    </w:p>
    <w:p w14:paraId="2D89CAE7">
      <w:pPr>
        <w:jc w:val="center"/>
        <w:rPr>
          <w:rFonts w:hint="eastAsia"/>
          <w:b/>
          <w:bCs/>
          <w:sz w:val="32"/>
          <w:szCs w:val="32"/>
        </w:rPr>
      </w:pPr>
      <w:r>
        <w:rPr>
          <w:rFonts w:hint="eastAsia"/>
          <w:b/>
          <w:bCs/>
          <w:sz w:val="32"/>
          <w:szCs w:val="32"/>
        </w:rPr>
        <w:t>授权委托书</w:t>
      </w:r>
    </w:p>
    <w:p w14:paraId="03C5102A">
      <w:pPr>
        <w:spacing w:line="360" w:lineRule="auto"/>
        <w:rPr>
          <w:rFonts w:hint="eastAsia"/>
          <w:sz w:val="24"/>
          <w:szCs w:val="28"/>
        </w:rPr>
      </w:pPr>
      <w:r>
        <w:rPr>
          <w:rFonts w:hint="eastAsia"/>
          <w:sz w:val="24"/>
          <w:szCs w:val="28"/>
        </w:rPr>
        <w:t>致：</w:t>
      </w:r>
    </w:p>
    <w:p w14:paraId="417DEFC5">
      <w:pPr>
        <w:adjustRightInd w:val="0"/>
        <w:snapToGrid w:val="0"/>
        <w:spacing w:beforeLines="20" w:afterLines="20" w:line="540" w:lineRule="exact"/>
        <w:ind w:hanging="1"/>
        <w:jc w:val="left"/>
        <w:rPr>
          <w:rFonts w:hint="eastAsia" w:ascii="宋体" w:hAnsi="宋体"/>
          <w:color w:val="000000"/>
          <w:sz w:val="24"/>
        </w:rPr>
      </w:pPr>
      <w:r>
        <w:rPr>
          <w:rFonts w:hint="eastAsia"/>
          <w:sz w:val="24"/>
          <w:szCs w:val="28"/>
        </w:rPr>
        <w:t xml:space="preserve">我单位委托 </w:t>
      </w:r>
      <w:r>
        <w:rPr>
          <w:rFonts w:hint="eastAsia"/>
          <w:sz w:val="24"/>
          <w:szCs w:val="28"/>
          <w:u w:val="single"/>
        </w:rPr>
        <w:t xml:space="preserve"> 【受托人姓名】</w:t>
      </w:r>
      <w:r>
        <w:rPr>
          <w:rFonts w:hint="eastAsia"/>
          <w:sz w:val="24"/>
          <w:szCs w:val="28"/>
        </w:rPr>
        <w:t>作为代理人参加贵司组织的</w:t>
      </w:r>
      <w:r>
        <w:rPr>
          <w:rFonts w:hint="eastAsia"/>
          <w:sz w:val="24"/>
          <w:szCs w:val="28"/>
          <w:u w:val="single"/>
        </w:rPr>
        <w:t>【</w:t>
      </w:r>
      <w:r>
        <w:rPr>
          <w:rFonts w:hint="eastAsia" w:ascii="宋体" w:hAnsi="宋体"/>
          <w:sz w:val="24"/>
        </w:rPr>
        <w:t>招标事项：</w:t>
      </w:r>
      <w:r>
        <w:rPr>
          <w:rFonts w:hint="eastAsia" w:ascii="宋体" w:hAnsi="宋体"/>
          <w:sz w:val="24"/>
          <w:lang w:val="en-US" w:eastAsia="zh-CN"/>
        </w:rPr>
        <w:t xml:space="preserve">       </w:t>
      </w:r>
      <w:r>
        <w:rPr>
          <w:rFonts w:hint="eastAsia" w:ascii="宋体" w:hAnsi="宋体"/>
          <w:color w:val="000000"/>
          <w:sz w:val="24"/>
        </w:rPr>
        <w:t>项目</w:t>
      </w:r>
      <w:r>
        <w:rPr>
          <w:rFonts w:hint="eastAsia"/>
          <w:sz w:val="24"/>
          <w:szCs w:val="28"/>
          <w:u w:val="single"/>
        </w:rPr>
        <w:t>】</w:t>
      </w:r>
      <w:r>
        <w:rPr>
          <w:rFonts w:hint="eastAsia"/>
          <w:sz w:val="24"/>
          <w:szCs w:val="28"/>
        </w:rPr>
        <w:t>招标。受委托人有权代表我单位签署投标文件、谈判纪要、合同书及办理结算等相关事宜。受委托人所签署的所有相关文件，我单位均予以承认。</w:t>
      </w:r>
    </w:p>
    <w:p w14:paraId="235A94E9">
      <w:pPr>
        <w:spacing w:line="360" w:lineRule="auto"/>
        <w:ind w:firstLine="480" w:firstLineChars="200"/>
        <w:rPr>
          <w:rFonts w:hint="eastAsia"/>
          <w:sz w:val="24"/>
          <w:szCs w:val="28"/>
        </w:rPr>
      </w:pPr>
      <w:r>
        <w:rPr>
          <w:rFonts w:hint="eastAsia"/>
          <w:sz w:val="24"/>
          <w:szCs w:val="28"/>
        </w:rPr>
        <w:t>代理人无权转委托。</w:t>
      </w:r>
    </w:p>
    <w:p w14:paraId="600491F4">
      <w:pPr>
        <w:spacing w:line="360" w:lineRule="auto"/>
        <w:ind w:firstLine="480" w:firstLineChars="200"/>
        <w:rPr>
          <w:rFonts w:hint="eastAsia"/>
          <w:sz w:val="24"/>
          <w:szCs w:val="28"/>
        </w:rPr>
      </w:pPr>
      <w:r>
        <w:rPr>
          <w:rFonts w:hint="eastAsia"/>
          <w:sz w:val="24"/>
          <w:szCs w:val="28"/>
        </w:rPr>
        <w:t>特此委托。</w:t>
      </w:r>
    </w:p>
    <w:p w14:paraId="7367B693">
      <w:pPr>
        <w:spacing w:line="360" w:lineRule="auto"/>
        <w:ind w:firstLine="5102" w:firstLineChars="2126"/>
        <w:rPr>
          <w:rFonts w:hint="eastAsia"/>
          <w:sz w:val="24"/>
          <w:szCs w:val="28"/>
        </w:rPr>
      </w:pPr>
      <w:r>
        <w:rPr>
          <w:rFonts w:hint="eastAsia"/>
          <w:sz w:val="24"/>
          <w:szCs w:val="28"/>
        </w:rPr>
        <w:t>委托单位：（盖章）</w:t>
      </w:r>
    </w:p>
    <w:p w14:paraId="14104B49">
      <w:pPr>
        <w:spacing w:line="360" w:lineRule="auto"/>
        <w:ind w:firstLine="3240" w:firstLineChars="1350"/>
        <w:rPr>
          <w:rFonts w:hint="eastAsia"/>
          <w:sz w:val="24"/>
          <w:szCs w:val="28"/>
        </w:rPr>
      </w:pPr>
    </w:p>
    <w:p w14:paraId="13E9ED52">
      <w:pPr>
        <w:spacing w:line="360" w:lineRule="auto"/>
        <w:ind w:firstLine="5102" w:firstLineChars="2126"/>
        <w:rPr>
          <w:rFonts w:hint="eastAsia"/>
          <w:sz w:val="24"/>
          <w:szCs w:val="28"/>
        </w:rPr>
      </w:pPr>
      <w:r>
        <w:rPr>
          <w:rFonts w:hint="eastAsia"/>
          <w:sz w:val="24"/>
          <w:szCs w:val="28"/>
        </w:rPr>
        <w:t>法定代表人：（签字）</w:t>
      </w:r>
    </w:p>
    <w:p w14:paraId="70EF660C">
      <w:pPr>
        <w:spacing w:line="360" w:lineRule="auto"/>
        <w:ind w:right="120"/>
        <w:jc w:val="right"/>
        <w:rPr>
          <w:rFonts w:hint="eastAsia"/>
          <w:sz w:val="24"/>
          <w:szCs w:val="28"/>
        </w:rPr>
      </w:pPr>
      <w:r>
        <w:rPr>
          <w:rFonts w:hint="eastAsia"/>
          <w:sz w:val="24"/>
          <w:szCs w:val="28"/>
        </w:rPr>
        <w:t>年   月   日</w:t>
      </w:r>
    </w:p>
    <w:p w14:paraId="7C6EAFE2">
      <w:pPr>
        <w:spacing w:line="360" w:lineRule="auto"/>
        <w:jc w:val="left"/>
        <w:rPr>
          <w:rFonts w:hint="eastAsia"/>
          <w:sz w:val="24"/>
          <w:szCs w:val="28"/>
        </w:rPr>
      </w:pPr>
    </w:p>
    <w:p w14:paraId="78E00F76">
      <w:pPr>
        <w:spacing w:line="360" w:lineRule="auto"/>
        <w:jc w:val="left"/>
        <w:rPr>
          <w:rFonts w:hint="eastAsia"/>
          <w:sz w:val="24"/>
          <w:szCs w:val="28"/>
        </w:rPr>
      </w:pPr>
    </w:p>
    <w:p w14:paraId="4A7FBC1D">
      <w:pPr>
        <w:spacing w:line="360" w:lineRule="auto"/>
        <w:jc w:val="left"/>
        <w:rPr>
          <w:rFonts w:hint="eastAsia"/>
          <w:sz w:val="24"/>
          <w:szCs w:val="28"/>
        </w:rPr>
      </w:pPr>
      <w:r>
        <w:rPr>
          <w:rFonts w:hint="eastAsia"/>
          <w:sz w:val="24"/>
          <w:szCs w:val="28"/>
        </w:rPr>
        <w:t>附：受委托人信息</w:t>
      </w:r>
    </w:p>
    <w:p w14:paraId="0A09A9CC">
      <w:pPr>
        <w:spacing w:line="480" w:lineRule="auto"/>
        <w:rPr>
          <w:rFonts w:hint="eastAsia"/>
          <w:sz w:val="24"/>
          <w:szCs w:val="28"/>
        </w:rPr>
      </w:pPr>
      <w:r>
        <w:rPr>
          <w:rFonts w:hint="eastAsia"/>
          <w:sz w:val="24"/>
          <w:szCs w:val="28"/>
        </w:rPr>
        <w:t xml:space="preserve">姓名：                    </w:t>
      </w:r>
      <w:r>
        <w:rPr>
          <w:rFonts w:hint="eastAsia"/>
          <w:sz w:val="24"/>
          <w:szCs w:val="28"/>
          <w:lang w:val="en-US" w:eastAsia="zh-CN"/>
        </w:rPr>
        <w:t xml:space="preserve">                                 </w:t>
      </w:r>
      <w:r>
        <w:rPr>
          <w:rFonts w:hint="eastAsia"/>
          <w:sz w:val="24"/>
          <w:szCs w:val="28"/>
        </w:rPr>
        <w:t xml:space="preserve"> 身份证号码：</w:t>
      </w:r>
    </w:p>
    <w:p w14:paraId="2E81E230">
      <w:pPr>
        <w:spacing w:line="480" w:lineRule="auto"/>
        <w:rPr>
          <w:rFonts w:hint="eastAsia"/>
          <w:sz w:val="24"/>
          <w:szCs w:val="28"/>
        </w:rPr>
      </w:pPr>
      <w:r>
        <w:rPr>
          <w:rFonts w:hint="eastAsia"/>
          <w:sz w:val="24"/>
          <w:szCs w:val="28"/>
        </w:rPr>
        <w:t xml:space="preserve">工作单位：              </w:t>
      </w:r>
      <w:r>
        <w:rPr>
          <w:rFonts w:hint="eastAsia"/>
          <w:sz w:val="24"/>
          <w:szCs w:val="28"/>
          <w:lang w:val="en-US" w:eastAsia="zh-CN"/>
        </w:rPr>
        <w:t xml:space="preserve">                         </w:t>
      </w:r>
      <w:r>
        <w:rPr>
          <w:rFonts w:hint="eastAsia"/>
          <w:sz w:val="24"/>
          <w:szCs w:val="28"/>
        </w:rPr>
        <w:t xml:space="preserve"> </w:t>
      </w:r>
      <w:r>
        <w:rPr>
          <w:rFonts w:hint="eastAsia"/>
          <w:sz w:val="24"/>
          <w:szCs w:val="28"/>
          <w:lang w:val="en-US" w:eastAsia="zh-CN"/>
        </w:rPr>
        <w:t xml:space="preserve">    </w:t>
      </w:r>
      <w:r>
        <w:rPr>
          <w:rFonts w:hint="eastAsia"/>
          <w:sz w:val="24"/>
          <w:szCs w:val="28"/>
        </w:rPr>
        <w:t xml:space="preserve">  职务： </w:t>
      </w:r>
    </w:p>
    <w:p w14:paraId="1D42AF30">
      <w:pPr>
        <w:spacing w:line="480" w:lineRule="auto"/>
        <w:rPr>
          <w:rFonts w:hint="eastAsia"/>
          <w:sz w:val="24"/>
          <w:szCs w:val="28"/>
        </w:rPr>
      </w:pPr>
      <w:r>
        <w:rPr>
          <w:rFonts w:hint="eastAsia"/>
          <w:sz w:val="24"/>
          <w:szCs w:val="28"/>
        </w:rPr>
        <w:t xml:space="preserve">住所：                   </w:t>
      </w:r>
      <w:r>
        <w:rPr>
          <w:rFonts w:hint="eastAsia"/>
          <w:sz w:val="24"/>
          <w:szCs w:val="28"/>
          <w:lang w:val="en-US" w:eastAsia="zh-CN"/>
        </w:rPr>
        <w:t xml:space="preserve">                             </w:t>
      </w:r>
      <w:r>
        <w:rPr>
          <w:rFonts w:hint="eastAsia"/>
          <w:sz w:val="24"/>
          <w:szCs w:val="28"/>
        </w:rPr>
        <w:t xml:space="preserve"> </w:t>
      </w:r>
      <w:r>
        <w:rPr>
          <w:rFonts w:hint="eastAsia"/>
          <w:sz w:val="24"/>
          <w:szCs w:val="28"/>
          <w:lang w:val="en-US" w:eastAsia="zh-CN"/>
        </w:rPr>
        <w:t xml:space="preserve">    </w:t>
      </w:r>
      <w:r>
        <w:rPr>
          <w:rFonts w:hint="eastAsia"/>
          <w:sz w:val="24"/>
          <w:szCs w:val="28"/>
        </w:rPr>
        <w:t xml:space="preserve"> 电话：</w:t>
      </w:r>
    </w:p>
    <w:p w14:paraId="4841429E">
      <w:pPr>
        <w:spacing w:line="360" w:lineRule="auto"/>
        <w:rPr>
          <w:sz w:val="24"/>
        </w:rPr>
      </w:pPr>
    </w:p>
    <w:p w14:paraId="0DB92725">
      <w:pPr>
        <w:spacing w:line="360" w:lineRule="auto"/>
        <w:rPr>
          <w:rFonts w:hint="eastAsia"/>
          <w:sz w:val="24"/>
        </w:rPr>
      </w:pPr>
    </w:p>
    <w:p w14:paraId="3468E6AB">
      <w:pPr>
        <w:spacing w:line="360" w:lineRule="auto"/>
        <w:rPr>
          <w:rFonts w:hint="eastAsia"/>
          <w:sz w:val="24"/>
        </w:rPr>
      </w:pPr>
    </w:p>
    <w:p w14:paraId="1C7FFE8B">
      <w:pPr>
        <w:spacing w:line="360" w:lineRule="auto"/>
        <w:rPr>
          <w:rFonts w:hint="eastAsia"/>
          <w:sz w:val="24"/>
        </w:rPr>
      </w:pPr>
    </w:p>
    <w:p w14:paraId="289C0F12">
      <w:pPr>
        <w:spacing w:line="360" w:lineRule="auto"/>
        <w:rPr>
          <w:rFonts w:hint="eastAsia"/>
          <w:sz w:val="24"/>
        </w:rPr>
      </w:pPr>
    </w:p>
    <w:p w14:paraId="1A64A821">
      <w:pPr>
        <w:spacing w:line="360" w:lineRule="auto"/>
        <w:jc w:val="center"/>
        <w:rPr>
          <w:rFonts w:hint="eastAsia"/>
          <w:b/>
          <w:sz w:val="32"/>
          <w:szCs w:val="32"/>
        </w:rPr>
      </w:pPr>
      <w:r>
        <w:rPr>
          <w:rFonts w:hint="eastAsia"/>
          <w:b/>
          <w:sz w:val="32"/>
          <w:szCs w:val="32"/>
        </w:rPr>
        <w:t>投  标  函</w:t>
      </w:r>
    </w:p>
    <w:p w14:paraId="79CD6B19">
      <w:pPr>
        <w:spacing w:line="360" w:lineRule="auto"/>
        <w:rPr>
          <w:sz w:val="24"/>
          <w:szCs w:val="28"/>
        </w:rPr>
      </w:pPr>
      <w:r>
        <w:rPr>
          <w:rFonts w:hint="eastAsia"/>
          <w:sz w:val="24"/>
        </w:rPr>
        <w:t>致：</w:t>
      </w:r>
      <w:r>
        <w:rPr>
          <w:rFonts w:hint="eastAsia"/>
          <w:sz w:val="24"/>
          <w:szCs w:val="28"/>
        </w:rPr>
        <w:t>嘉兴八佰伴</w:t>
      </w:r>
    </w:p>
    <w:p w14:paraId="1A88EFB0">
      <w:pPr>
        <w:spacing w:line="360" w:lineRule="auto"/>
        <w:rPr>
          <w:rFonts w:hint="eastAsia"/>
          <w:sz w:val="24"/>
          <w:szCs w:val="28"/>
        </w:rPr>
      </w:pPr>
    </w:p>
    <w:p w14:paraId="298FF977">
      <w:pPr>
        <w:adjustRightInd w:val="0"/>
        <w:snapToGrid w:val="0"/>
        <w:spacing w:beforeLines="20" w:afterLines="20" w:line="540" w:lineRule="exact"/>
        <w:ind w:hanging="1"/>
        <w:jc w:val="left"/>
        <w:rPr>
          <w:rFonts w:hint="eastAsia" w:ascii="宋体" w:hAnsi="宋体"/>
          <w:color w:val="000000"/>
          <w:sz w:val="24"/>
        </w:rPr>
      </w:pPr>
      <w:r>
        <w:rPr>
          <w:rFonts w:hint="eastAsia"/>
          <w:sz w:val="24"/>
        </w:rPr>
        <w:t>根据贵公司</w:t>
      </w:r>
      <w:r>
        <w:rPr>
          <w:rFonts w:hint="eastAsia"/>
          <w:sz w:val="24"/>
          <w:u w:val="single"/>
        </w:rPr>
        <w:t>【嘉兴八佰伴</w:t>
      </w:r>
      <w:r>
        <w:rPr>
          <w:rFonts w:hint="eastAsia"/>
          <w:sz w:val="24"/>
          <w:u w:val="single"/>
          <w:lang w:val="en-US" w:eastAsia="zh-CN"/>
        </w:rPr>
        <w:t>7</w:t>
      </w:r>
      <w:r>
        <w:rPr>
          <w:rFonts w:hint="eastAsia"/>
          <w:sz w:val="24"/>
          <w:u w:val="single"/>
        </w:rPr>
        <w:t>F</w:t>
      </w:r>
      <w:r>
        <w:rPr>
          <w:rFonts w:hint="eastAsia"/>
          <w:sz w:val="24"/>
          <w:u w:val="single"/>
          <w:lang w:val="en-US" w:eastAsia="zh-CN"/>
        </w:rPr>
        <w:t>星伦多</w:t>
      </w:r>
      <w:r>
        <w:rPr>
          <w:rFonts w:hint="eastAsia"/>
          <w:sz w:val="24"/>
          <w:u w:val="single"/>
        </w:rPr>
        <w:t>拆除</w:t>
      </w:r>
      <w:r>
        <w:rPr>
          <w:rFonts w:hint="eastAsia"/>
          <w:sz w:val="24"/>
          <w:u w:val="single"/>
          <w:lang w:val="en-US" w:eastAsia="zh-CN"/>
        </w:rPr>
        <w:t>及围</w:t>
      </w:r>
      <w:r>
        <w:rPr>
          <w:rFonts w:hint="eastAsia"/>
          <w:sz w:val="24"/>
          <w:u w:val="single"/>
          <w:lang w:val="en-US" w:eastAsia="zh-CN"/>
        </w:rPr>
        <w:t>挡搭建</w:t>
      </w:r>
      <w:r>
        <w:rPr>
          <w:rFonts w:hint="eastAsia"/>
          <w:sz w:val="24"/>
          <w:u w:val="single"/>
        </w:rPr>
        <w:t>工程</w:t>
      </w:r>
      <w:r>
        <w:rPr>
          <w:rFonts w:hint="eastAsia" w:ascii="宋体" w:hAnsi="宋体"/>
          <w:color w:val="000000"/>
          <w:sz w:val="24"/>
          <w:u w:val="single"/>
        </w:rPr>
        <w:t>项目</w:t>
      </w:r>
      <w:r>
        <w:rPr>
          <w:rFonts w:hint="eastAsia"/>
          <w:sz w:val="24"/>
          <w:u w:val="single"/>
        </w:rPr>
        <w:t>】</w:t>
      </w:r>
      <w:r>
        <w:rPr>
          <w:rFonts w:hint="eastAsia"/>
          <w:sz w:val="24"/>
        </w:rPr>
        <w:t>招标文件要求，我单位同意投标，投标总价为人民币</w:t>
      </w:r>
      <w:r>
        <w:rPr>
          <w:rFonts w:hint="eastAsia"/>
          <w:sz w:val="24"/>
          <w:u w:val="single"/>
        </w:rPr>
        <w:t>【大写金额】</w:t>
      </w:r>
      <w:r>
        <w:rPr>
          <w:rFonts w:hint="eastAsia"/>
          <w:sz w:val="24"/>
        </w:rPr>
        <w:t>（￥</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元）（详见附件《投标报价表》）。</w:t>
      </w:r>
    </w:p>
    <w:p w14:paraId="19A51D9E">
      <w:pPr>
        <w:spacing w:line="360" w:lineRule="auto"/>
        <w:ind w:firstLine="480" w:firstLineChars="200"/>
        <w:rPr>
          <w:rFonts w:hint="eastAsia"/>
          <w:sz w:val="24"/>
        </w:rPr>
      </w:pPr>
      <w:r>
        <w:rPr>
          <w:rFonts w:hint="eastAsia"/>
          <w:sz w:val="24"/>
        </w:rPr>
        <w:t>我单位承诺：</w:t>
      </w:r>
    </w:p>
    <w:p w14:paraId="08968071">
      <w:pPr>
        <w:spacing w:line="360" w:lineRule="auto"/>
        <w:ind w:firstLine="480" w:firstLineChars="200"/>
        <w:rPr>
          <w:rFonts w:hint="eastAsia"/>
          <w:sz w:val="24"/>
        </w:rPr>
      </w:pPr>
      <w:r>
        <w:rPr>
          <w:rFonts w:hint="eastAsia"/>
          <w:sz w:val="24"/>
        </w:rPr>
        <w:t>1．我单位已详细阅读全部招标文件，包括答疑纪要，以及全部参考资料和有关附件。我单位对招标文件之规定及所附合同条款无异议。</w:t>
      </w:r>
    </w:p>
    <w:p w14:paraId="1C5FD342">
      <w:pPr>
        <w:spacing w:line="360" w:lineRule="auto"/>
        <w:ind w:firstLine="480" w:firstLineChars="200"/>
        <w:rPr>
          <w:rFonts w:hint="eastAsia"/>
          <w:sz w:val="24"/>
        </w:rPr>
      </w:pPr>
      <w:r>
        <w:rPr>
          <w:rFonts w:hint="eastAsia"/>
          <w:sz w:val="24"/>
        </w:rPr>
        <w:t>2．本投标文件有效期为自开标之日起七个（</w:t>
      </w:r>
      <w:r>
        <w:rPr>
          <w:sz w:val="24"/>
        </w:rPr>
        <w:t>7</w:t>
      </w:r>
      <w:r>
        <w:rPr>
          <w:rFonts w:hint="eastAsia"/>
          <w:sz w:val="24"/>
        </w:rPr>
        <w:t>）个日历日。开标后，如果我单位在投标有效期内撤回投标，将视为放弃投标。</w:t>
      </w:r>
    </w:p>
    <w:p w14:paraId="600E39E9">
      <w:pPr>
        <w:spacing w:line="360" w:lineRule="auto"/>
        <w:ind w:firstLine="480" w:firstLineChars="200"/>
        <w:rPr>
          <w:rFonts w:hint="eastAsia"/>
          <w:sz w:val="24"/>
        </w:rPr>
      </w:pPr>
      <w:r>
        <w:rPr>
          <w:rFonts w:hint="eastAsia"/>
          <w:sz w:val="24"/>
        </w:rPr>
        <w:t>3．我单位同意提供按照贵公司可能要求的与其投标有关的一切数据或资料，完全理解不一定要接受最低价格的投标或受到的任何投标。</w:t>
      </w:r>
    </w:p>
    <w:p w14:paraId="3B87B5C7">
      <w:pPr>
        <w:spacing w:line="360" w:lineRule="auto"/>
        <w:ind w:firstLine="480" w:firstLineChars="200"/>
        <w:rPr>
          <w:rFonts w:hint="eastAsia"/>
          <w:sz w:val="24"/>
        </w:rPr>
      </w:pPr>
      <w:r>
        <w:rPr>
          <w:rFonts w:hint="eastAsia"/>
          <w:sz w:val="24"/>
        </w:rPr>
        <w:t>4. 如果中标，我单位将于收到合同文本协商一致后</w:t>
      </w:r>
      <w:r>
        <w:rPr>
          <w:sz w:val="24"/>
        </w:rPr>
        <w:t>72</w:t>
      </w:r>
      <w:r>
        <w:rPr>
          <w:rFonts w:hint="eastAsia"/>
          <w:sz w:val="24"/>
        </w:rPr>
        <w:t>小时内签署完毕。逾期未签署合同文本的，贵公司有权另行确定中标方或另行组织招标。</w:t>
      </w:r>
    </w:p>
    <w:p w14:paraId="7D912F06">
      <w:pPr>
        <w:spacing w:line="360" w:lineRule="auto"/>
        <w:ind w:firstLine="480" w:firstLineChars="200"/>
        <w:rPr>
          <w:rFonts w:hint="eastAsia"/>
          <w:sz w:val="24"/>
        </w:rPr>
      </w:pPr>
      <w:r>
        <w:rPr>
          <w:rFonts w:hint="eastAsia"/>
          <w:sz w:val="24"/>
        </w:rPr>
        <w:t>5. 我单位充分理解生效的合同是双方结算必须具备的基础性文件。没有生效合同作为基础，贵公司任何职员个人签署的记录文件（无论是否加盖贵公司公章）均不作为双方结算依据。</w:t>
      </w:r>
    </w:p>
    <w:p w14:paraId="544F12C5">
      <w:pPr>
        <w:spacing w:line="360" w:lineRule="auto"/>
        <w:ind w:firstLine="480" w:firstLineChars="200"/>
        <w:rPr>
          <w:rFonts w:hint="eastAsia"/>
          <w:sz w:val="24"/>
        </w:rPr>
      </w:pPr>
      <w:r>
        <w:rPr>
          <w:rFonts w:hint="eastAsia"/>
          <w:sz w:val="24"/>
        </w:rPr>
        <w:t>6．与本投标有关的一切正式往来通讯请寄（或致电、传真、email）：</w:t>
      </w:r>
    </w:p>
    <w:p w14:paraId="2BAE8C7C">
      <w:pPr>
        <w:spacing w:line="360" w:lineRule="auto"/>
        <w:ind w:firstLine="849" w:firstLineChars="354"/>
        <w:rPr>
          <w:rFonts w:hint="eastAsia"/>
          <w:sz w:val="24"/>
        </w:rPr>
      </w:pPr>
      <w:r>
        <w:rPr>
          <w:rFonts w:hint="eastAsia"/>
          <w:sz w:val="24"/>
        </w:rPr>
        <w:t>地址：</w:t>
      </w:r>
    </w:p>
    <w:p w14:paraId="122FE044">
      <w:pPr>
        <w:spacing w:line="360" w:lineRule="auto"/>
        <w:ind w:firstLine="849" w:firstLineChars="354"/>
        <w:rPr>
          <w:rFonts w:hint="eastAsia"/>
          <w:sz w:val="24"/>
        </w:rPr>
      </w:pPr>
      <w:r>
        <w:rPr>
          <w:rFonts w:hint="eastAsia"/>
          <w:sz w:val="24"/>
        </w:rPr>
        <w:t xml:space="preserve">电话：                          </w:t>
      </w:r>
    </w:p>
    <w:p w14:paraId="00EA6CC2">
      <w:pPr>
        <w:spacing w:line="360" w:lineRule="auto"/>
        <w:ind w:firstLine="480" w:firstLineChars="200"/>
        <w:jc w:val="right"/>
        <w:rPr>
          <w:rFonts w:hint="eastAsia"/>
          <w:sz w:val="24"/>
        </w:rPr>
      </w:pPr>
      <w:r>
        <w:rPr>
          <w:rFonts w:hint="eastAsia"/>
          <w:sz w:val="24"/>
        </w:rPr>
        <w:t>投标方（公章）：_______________</w:t>
      </w:r>
    </w:p>
    <w:p w14:paraId="13261C8F">
      <w:pPr>
        <w:wordWrap w:val="0"/>
        <w:spacing w:line="360" w:lineRule="auto"/>
        <w:ind w:firstLine="480" w:firstLineChars="200"/>
        <w:jc w:val="right"/>
        <w:rPr>
          <w:rFonts w:hint="eastAsia"/>
          <w:sz w:val="24"/>
          <w:lang w:val="en-US" w:eastAsia="zh-CN"/>
        </w:rPr>
      </w:pPr>
      <w:r>
        <w:rPr>
          <w:rFonts w:hint="eastAsia"/>
          <w:sz w:val="24"/>
        </w:rPr>
        <w:t>代表签字：</w:t>
      </w:r>
      <w:r>
        <w:rPr>
          <w:rFonts w:hint="eastAsia"/>
          <w:sz w:val="24"/>
          <w:u w:val="single"/>
          <w:lang w:val="en-US" w:eastAsia="zh-CN"/>
        </w:rPr>
        <w:t xml:space="preserve">                                     </w:t>
      </w:r>
      <w:r>
        <w:rPr>
          <w:rFonts w:hint="eastAsia"/>
          <w:sz w:val="24"/>
          <w:lang w:val="en-US" w:eastAsia="zh-CN"/>
        </w:rPr>
        <w:t xml:space="preserve">   </w:t>
      </w:r>
    </w:p>
    <w:p w14:paraId="0B8360BC">
      <w:pPr>
        <w:wordWrap w:val="0"/>
        <w:spacing w:line="360" w:lineRule="auto"/>
        <w:ind w:firstLine="480" w:firstLineChars="200"/>
        <w:jc w:val="center"/>
        <w:rPr>
          <w:sz w:val="24"/>
          <w:u w:val="none"/>
        </w:rPr>
      </w:pPr>
      <w:r>
        <w:rPr>
          <w:rFonts w:hint="eastAsia"/>
          <w:sz w:val="24"/>
          <w:lang w:val="en-US" w:eastAsia="zh-CN"/>
        </w:rPr>
        <w:t xml:space="preserve">                                               </w:t>
      </w:r>
      <w:r>
        <w:rPr>
          <w:rFonts w:hint="eastAsia"/>
          <w:sz w:val="24"/>
        </w:rPr>
        <w:t>日期：</w:t>
      </w:r>
      <w:r>
        <w:rPr>
          <w:rFonts w:hint="eastAsia"/>
          <w:sz w:val="24"/>
          <w:u w:val="single"/>
          <w:lang w:val="en-US" w:eastAsia="zh-CN"/>
        </w:rPr>
        <w:t xml:space="preserve"> </w:t>
      </w:r>
      <w:r>
        <w:rPr>
          <w:rFonts w:hint="eastAsia"/>
          <w:sz w:val="24"/>
          <w:u w:val="none"/>
          <w:lang w:val="en-US" w:eastAsia="zh-CN"/>
        </w:rPr>
        <w:t xml:space="preserve">     </w:t>
      </w:r>
      <w:r>
        <w:rPr>
          <w:rFonts w:hint="eastAsia"/>
          <w:sz w:val="24"/>
          <w:u w:val="none"/>
        </w:rPr>
        <w:t xml:space="preserve">                </w:t>
      </w:r>
    </w:p>
    <w:p w14:paraId="12C82808">
      <w:pPr>
        <w:rPr>
          <w:rFonts w:hint="eastAsia" w:eastAsia="宋体"/>
          <w:lang w:eastAsia="zh-CN"/>
        </w:rPr>
      </w:pPr>
    </w:p>
    <w:p w14:paraId="1AC4D002">
      <w:pPr>
        <w:rPr>
          <w:rFonts w:hint="eastAsia" w:eastAsia="宋体"/>
          <w:lang w:eastAsia="zh-CN"/>
        </w:rPr>
      </w:pPr>
    </w:p>
    <w:p w14:paraId="610C1375">
      <w:pPr>
        <w:rPr>
          <w:rFonts w:hint="eastAsia"/>
          <w:b/>
          <w:bCs/>
          <w:lang w:val="en-US" w:eastAsia="zh-CN"/>
        </w:rPr>
      </w:pPr>
      <w:r>
        <w:rPr>
          <w:rFonts w:hint="eastAsia"/>
          <w:b/>
          <w:bCs/>
          <w:lang w:val="en-US" w:eastAsia="zh-CN"/>
        </w:rPr>
        <w:t>附件：清单</w:t>
      </w:r>
    </w:p>
    <w:tbl>
      <w:tblPr>
        <w:tblStyle w:val="5"/>
        <w:tblW w:w="104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7"/>
        <w:gridCol w:w="2033"/>
        <w:gridCol w:w="3350"/>
        <w:gridCol w:w="767"/>
        <w:gridCol w:w="1080"/>
        <w:gridCol w:w="666"/>
        <w:gridCol w:w="766"/>
        <w:gridCol w:w="1283"/>
      </w:tblGrid>
      <w:tr w14:paraId="3A58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0452" w:type="dxa"/>
            <w:gridSpan w:val="8"/>
            <w:tcBorders>
              <w:top w:val="nil"/>
              <w:left w:val="nil"/>
              <w:bottom w:val="nil"/>
              <w:right w:val="nil"/>
            </w:tcBorders>
            <w:shd w:val="clear" w:color="auto" w:fill="auto"/>
            <w:noWrap/>
            <w:vAlign w:val="center"/>
          </w:tcPr>
          <w:p w14:paraId="5860B3A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嘉兴八佰伴7F星伦多拆除</w:t>
            </w:r>
            <w:r>
              <w:rPr>
                <w:rFonts w:hint="eastAsia" w:ascii="宋体" w:hAnsi="宋体" w:cs="宋体"/>
                <w:b/>
                <w:bCs/>
                <w:i w:val="0"/>
                <w:iCs w:val="0"/>
                <w:color w:val="000000"/>
                <w:kern w:val="0"/>
                <w:sz w:val="28"/>
                <w:szCs w:val="28"/>
                <w:u w:val="none"/>
                <w:lang w:val="en-US" w:eastAsia="zh-CN" w:bidi="ar"/>
              </w:rPr>
              <w:t>及围挡搭建</w:t>
            </w:r>
            <w:bookmarkStart w:id="6" w:name="_GoBack"/>
            <w:bookmarkEnd w:id="6"/>
            <w:r>
              <w:rPr>
                <w:rFonts w:hint="eastAsia" w:ascii="宋体" w:hAnsi="宋体" w:eastAsia="宋体" w:cs="宋体"/>
                <w:b/>
                <w:bCs/>
                <w:i w:val="0"/>
                <w:iCs w:val="0"/>
                <w:color w:val="000000"/>
                <w:kern w:val="0"/>
                <w:sz w:val="28"/>
                <w:szCs w:val="28"/>
                <w:u w:val="none"/>
                <w:lang w:val="en-US" w:eastAsia="zh-CN" w:bidi="ar"/>
              </w:rPr>
              <w:t>工程量清单</w:t>
            </w:r>
          </w:p>
        </w:tc>
      </w:tr>
      <w:tr w14:paraId="71FD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C7D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2647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3458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项目特征描述</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C9D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706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4BD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去税单价</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458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去税总价</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38F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4013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1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29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冷冻库等抬高区拆除</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92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1.拆除抬高回填层、水泥砂浆粘结层、石材/地砖面层拆除；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2.拆除的所有废料归施工方，建筑垃圾外运；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D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6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84.00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C246">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AD03">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B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整体厚度350mm</w:t>
            </w:r>
          </w:p>
        </w:tc>
      </w:tr>
      <w:tr w14:paraId="2FEA1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B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78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石材/地砖及结合层凿除</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1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1.拆除水泥砂浆粘结层、石材/地砖面层拆除；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2.拆除的所有废料归施工方，建筑垃圾外运；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A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F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766.00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08CE">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249C">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7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整体厚度300mm</w:t>
            </w:r>
          </w:p>
        </w:tc>
      </w:tr>
      <w:tr w14:paraId="3525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1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D6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顶部机电拆除整理</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A5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1.裸顶天花顶部装饰造型、灯箱、桥架、线管、电线、灯具及设备等所有内容拆除，恢复毛胚裸顶；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2.主电缆移交甲方，其余废料归施工方；</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8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7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850.00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4757">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482B">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F6B6">
            <w:pPr>
              <w:jc w:val="center"/>
              <w:rPr>
                <w:rFonts w:hint="eastAsia" w:ascii="宋体" w:hAnsi="宋体" w:eastAsia="宋体" w:cs="宋体"/>
                <w:i w:val="0"/>
                <w:iCs w:val="0"/>
                <w:color w:val="000000"/>
                <w:sz w:val="18"/>
                <w:szCs w:val="18"/>
                <w:u w:val="none"/>
              </w:rPr>
            </w:pPr>
          </w:p>
        </w:tc>
      </w:tr>
      <w:tr w14:paraId="579F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A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B6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门楣拆除(含基层)</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D5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1.面层及钢骨架、木基层拆除；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2.拆除的所有废料归施工方，建筑垃圾外运；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7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3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21.70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5C27">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479B">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5E7D">
            <w:pPr>
              <w:jc w:val="center"/>
              <w:rPr>
                <w:rFonts w:hint="eastAsia" w:ascii="宋体" w:hAnsi="宋体" w:eastAsia="宋体" w:cs="宋体"/>
                <w:i w:val="0"/>
                <w:iCs w:val="0"/>
                <w:color w:val="000000"/>
                <w:sz w:val="18"/>
                <w:szCs w:val="18"/>
                <w:u w:val="none"/>
              </w:rPr>
            </w:pPr>
          </w:p>
        </w:tc>
      </w:tr>
      <w:tr w14:paraId="46AF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C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E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高柜/背柜拆除</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DD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1.高柜/背柜拆除；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2.拆除的所有废料归施工方，建筑垃圾外运；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C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E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9.81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EC6A">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46CE">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A376">
            <w:pPr>
              <w:jc w:val="center"/>
              <w:rPr>
                <w:rFonts w:hint="eastAsia" w:ascii="宋体" w:hAnsi="宋体" w:eastAsia="宋体" w:cs="宋体"/>
                <w:i w:val="0"/>
                <w:iCs w:val="0"/>
                <w:color w:val="000000"/>
                <w:sz w:val="18"/>
                <w:szCs w:val="18"/>
                <w:u w:val="none"/>
              </w:rPr>
            </w:pPr>
          </w:p>
        </w:tc>
      </w:tr>
      <w:tr w14:paraId="0B2C4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D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CA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矮柜拆除</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7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1.矮柜拆除；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2.拆除的所有废料归施工方，建筑垃圾外运；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8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1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83.20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3E5E">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DDD1">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6075">
            <w:pPr>
              <w:jc w:val="center"/>
              <w:rPr>
                <w:rFonts w:hint="eastAsia" w:ascii="宋体" w:hAnsi="宋体" w:eastAsia="宋体" w:cs="宋体"/>
                <w:i w:val="0"/>
                <w:iCs w:val="0"/>
                <w:color w:val="000000"/>
                <w:sz w:val="18"/>
                <w:szCs w:val="18"/>
                <w:u w:val="none"/>
              </w:rPr>
            </w:pPr>
          </w:p>
        </w:tc>
      </w:tr>
      <w:tr w14:paraId="645C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A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31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包柱拆除</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4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1.包柱饰面及龙骨基层拆除；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2.拆除的所有废料归施工方，建筑垃圾外运；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E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8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164.40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8685">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6568">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FF37">
            <w:pPr>
              <w:jc w:val="center"/>
              <w:rPr>
                <w:rFonts w:hint="eastAsia" w:ascii="宋体" w:hAnsi="宋体" w:eastAsia="宋体" w:cs="宋体"/>
                <w:i w:val="0"/>
                <w:iCs w:val="0"/>
                <w:color w:val="000000"/>
                <w:sz w:val="18"/>
                <w:szCs w:val="18"/>
                <w:u w:val="none"/>
              </w:rPr>
            </w:pPr>
          </w:p>
        </w:tc>
      </w:tr>
      <w:tr w14:paraId="50107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E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07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花岗岩备餐台及矮柜拆除</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6A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1.备餐台及矮柜；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2.拆除的所有废料归施工方，建筑垃圾外运；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1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F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74.00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FA5F">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28E9">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492A">
            <w:pPr>
              <w:jc w:val="center"/>
              <w:rPr>
                <w:rFonts w:hint="eastAsia" w:ascii="宋体" w:hAnsi="宋体" w:eastAsia="宋体" w:cs="宋体"/>
                <w:i w:val="0"/>
                <w:iCs w:val="0"/>
                <w:color w:val="000000"/>
                <w:sz w:val="18"/>
                <w:szCs w:val="18"/>
                <w:u w:val="none"/>
              </w:rPr>
            </w:pPr>
          </w:p>
        </w:tc>
      </w:tr>
      <w:tr w14:paraId="4395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C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AC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墙面涂料铲除</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0E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1.墙面涂料及腻子基层铲除；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2.拆除的所有废料归施工方，建筑垃圾外运；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A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3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262.26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3E42">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1B67">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DE7F">
            <w:pPr>
              <w:jc w:val="center"/>
              <w:rPr>
                <w:rFonts w:hint="eastAsia" w:ascii="宋体" w:hAnsi="宋体" w:eastAsia="宋体" w:cs="宋体"/>
                <w:i w:val="0"/>
                <w:iCs w:val="0"/>
                <w:color w:val="000000"/>
                <w:sz w:val="18"/>
                <w:szCs w:val="18"/>
                <w:u w:val="none"/>
              </w:rPr>
            </w:pPr>
          </w:p>
        </w:tc>
      </w:tr>
      <w:tr w14:paraId="310E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2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3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玻璃隔断拆除</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CE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1.玻璃隔断拆除；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2.拆除的所有废料归施工方，建筑垃圾外运；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9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D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56.16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2BE8">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AE74">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A288">
            <w:pPr>
              <w:jc w:val="center"/>
              <w:rPr>
                <w:rFonts w:hint="eastAsia" w:ascii="宋体" w:hAnsi="宋体" w:eastAsia="宋体" w:cs="宋体"/>
                <w:i w:val="0"/>
                <w:iCs w:val="0"/>
                <w:color w:val="000000"/>
                <w:sz w:val="18"/>
                <w:szCs w:val="18"/>
                <w:u w:val="none"/>
              </w:rPr>
            </w:pPr>
          </w:p>
        </w:tc>
      </w:tr>
      <w:tr w14:paraId="3FF3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E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C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墙面LED显示屏保护性拆除</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D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1.墙面LED显示屏拆除；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2.拆除的所有废料归施工方，建筑垃圾外运；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7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E381">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8D4D">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A848">
            <w:pPr>
              <w:jc w:val="center"/>
              <w:rPr>
                <w:rFonts w:hint="eastAsia" w:ascii="宋体" w:hAnsi="宋体" w:eastAsia="宋体" w:cs="宋体"/>
                <w:i w:val="0"/>
                <w:iCs w:val="0"/>
                <w:color w:val="000000"/>
                <w:sz w:val="18"/>
                <w:szCs w:val="18"/>
                <w:u w:val="none"/>
              </w:rPr>
            </w:pPr>
          </w:p>
        </w:tc>
      </w:tr>
      <w:tr w14:paraId="1A92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1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18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防盗卷帘门</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57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1.防盗卷帘门、电机、轨道等拆除；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2.拆除的所有废料归施工方，建筑垃圾外运；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2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9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18.72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5E9D">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87CB">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AD09">
            <w:pPr>
              <w:jc w:val="center"/>
              <w:rPr>
                <w:rFonts w:hint="eastAsia" w:ascii="宋体" w:hAnsi="宋体" w:eastAsia="宋体" w:cs="宋体"/>
                <w:i w:val="0"/>
                <w:iCs w:val="0"/>
                <w:color w:val="000000"/>
                <w:sz w:val="18"/>
                <w:szCs w:val="18"/>
                <w:u w:val="none"/>
              </w:rPr>
            </w:pPr>
          </w:p>
        </w:tc>
      </w:tr>
      <w:tr w14:paraId="78DA5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1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46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吊顶天棚拆除</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15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1.拆除原石膏板吊顶（含面层、主副龙骨、吊杆、木工板、常规灯槽、灯盒造型）拆除，按水平正投影面积计算；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2.拆除的所有废料归施工方，建筑垃圾外运；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3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1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721.00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B876">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6EEE">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7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多处造型顶</w:t>
            </w:r>
          </w:p>
        </w:tc>
      </w:tr>
      <w:tr w14:paraId="6B37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6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35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后厨铝扣板吊顶拆除</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B0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1.铝扣板吊顶及配套龙骨、吊筋拆除；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2.拆除的所有废料归施工方，建筑垃圾外运；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2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0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129.00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6BA2">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37B2">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1CE9">
            <w:pPr>
              <w:jc w:val="center"/>
              <w:rPr>
                <w:rFonts w:hint="eastAsia" w:ascii="宋体" w:hAnsi="宋体" w:eastAsia="宋体" w:cs="宋体"/>
                <w:i w:val="0"/>
                <w:iCs w:val="0"/>
                <w:color w:val="000000"/>
                <w:sz w:val="18"/>
                <w:szCs w:val="18"/>
                <w:u w:val="none"/>
              </w:rPr>
            </w:pPr>
          </w:p>
        </w:tc>
      </w:tr>
      <w:tr w14:paraId="1CFBC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C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12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出餐区玻璃隔断及装饰吊眉拆除</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B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1.玻璃隔断及装饰吊眉拆除；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2.拆除的所有废料归施工方，建筑垃圾外运；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2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0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74.00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60D6">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C033">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3B17">
            <w:pPr>
              <w:jc w:val="center"/>
              <w:rPr>
                <w:rFonts w:hint="eastAsia" w:ascii="宋体" w:hAnsi="宋体" w:eastAsia="宋体" w:cs="宋体"/>
                <w:i w:val="0"/>
                <w:iCs w:val="0"/>
                <w:color w:val="000000"/>
                <w:sz w:val="18"/>
                <w:szCs w:val="18"/>
                <w:u w:val="none"/>
              </w:rPr>
            </w:pPr>
          </w:p>
        </w:tc>
      </w:tr>
      <w:tr w14:paraId="30DD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A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25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墙体拆除(200厚砖墙)</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6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1.砖墙拆除、包含钢筋砼圈梁及构造柱；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2.拆除的所有废料归施工方，建筑垃圾外运；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1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8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35.10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2A23">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0467">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D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后厨及中岛砖墙（包含墙砖）</w:t>
            </w:r>
          </w:p>
        </w:tc>
      </w:tr>
      <w:tr w14:paraId="6DC68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7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6F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墙体拆除(120厚砖墙)</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D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1.砖墙拆除、包含钢筋砼圈梁及构造柱；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2.垃圾清运至当地环卫处指定地点；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3.拆除的所有废料归施工方，建筑垃圾外运；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0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E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554.04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2A0B">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1B35">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5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后厨及中岛砖墙（包含墙砖）</w:t>
            </w:r>
          </w:p>
        </w:tc>
      </w:tr>
      <w:tr w14:paraId="2B26F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7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1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墙体拆除(200厚砖墙)</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FD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1.砖墙拆除、包含钢筋砼圈梁及构造柱；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2.垃圾清运至当地环卫处指定地点；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3.拆除的所有废料归施工方，建筑垃圾外运；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8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E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307.79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6DE7">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5E51">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E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后勤通道及左侧疏散通道石墙（扣除后场通道防火门尺寸）</w:t>
            </w:r>
          </w:p>
        </w:tc>
      </w:tr>
      <w:tr w14:paraId="114F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9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52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后厨防火门拆除</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E7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1、拆除后通道防火门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2、包含垃圾清运等</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C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B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7.56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93E5">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4B8E">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5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后厨通道防火门2樘</w:t>
            </w:r>
          </w:p>
        </w:tc>
      </w:tr>
      <w:tr w14:paraId="733C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9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A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地砖及结合层凿除</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AD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1.拆除水泥砂浆粘结层、石材/地砖面层拆除；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2.拆除的所有废料归施工方，建筑垃圾外运；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E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B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175.10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1D66">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3B3C">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4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后勤通道及左侧疏散通道地砖及结合层凿除</w:t>
            </w:r>
          </w:p>
        </w:tc>
      </w:tr>
      <w:tr w14:paraId="4EB4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2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75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吊顶天棚拆除</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BC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1.拆除原石膏板吊顶（含面层、主副龙骨、吊杆、木工板、常规灯槽、灯盒造型）拆除，按水平正投影面积计算；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2.拆除的所有废料归施工方，建筑垃圾外运；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9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0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175.10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4E1D">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073F">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D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后勤通道及左侧疏散通道石膏板吊顶拆除</w:t>
            </w:r>
          </w:p>
        </w:tc>
      </w:tr>
      <w:tr w14:paraId="7E62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F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16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店铺石膏板围挡搭建</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75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1、轻钢龙骨石膏板围挡搭建；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2、包含安装及后期装修完成后围挡拆除；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3、包含拆除后吊顶修复及垃圾清运等；</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7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6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100.45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9D15">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6256">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175C">
            <w:pPr>
              <w:jc w:val="center"/>
              <w:rPr>
                <w:rFonts w:hint="eastAsia" w:ascii="宋体" w:hAnsi="宋体" w:eastAsia="宋体" w:cs="宋体"/>
                <w:i w:val="0"/>
                <w:iCs w:val="0"/>
                <w:color w:val="000000"/>
                <w:sz w:val="18"/>
                <w:szCs w:val="18"/>
                <w:u w:val="none"/>
              </w:rPr>
            </w:pPr>
          </w:p>
        </w:tc>
      </w:tr>
      <w:tr w14:paraId="4813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A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DE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围挡地面保护</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0D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1、围挡搭建期间地面保护及公区吊顶包含</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C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E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100.45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49C6">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0C82">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0126">
            <w:pPr>
              <w:jc w:val="center"/>
              <w:rPr>
                <w:rFonts w:hint="eastAsia" w:ascii="宋体" w:hAnsi="宋体" w:eastAsia="宋体" w:cs="宋体"/>
                <w:i w:val="0"/>
                <w:iCs w:val="0"/>
                <w:color w:val="000000"/>
                <w:sz w:val="18"/>
                <w:szCs w:val="18"/>
                <w:u w:val="none"/>
              </w:rPr>
            </w:pPr>
          </w:p>
        </w:tc>
      </w:tr>
      <w:tr w14:paraId="4A9C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8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5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围挡刀刮布</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1321">
            <w:pPr>
              <w:jc w:val="left"/>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F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D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100.45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3D3E">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04CF">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11E6">
            <w:pPr>
              <w:jc w:val="center"/>
              <w:rPr>
                <w:rFonts w:hint="eastAsia" w:ascii="宋体" w:hAnsi="宋体" w:eastAsia="宋体" w:cs="宋体"/>
                <w:i w:val="0"/>
                <w:iCs w:val="0"/>
                <w:color w:val="000000"/>
                <w:sz w:val="18"/>
                <w:szCs w:val="18"/>
                <w:u w:val="none"/>
              </w:rPr>
            </w:pPr>
          </w:p>
        </w:tc>
      </w:tr>
      <w:tr w14:paraId="5E7C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7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AF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道具保护性拆除及货品保护性运输</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C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1.所有道具保护性拆除、打包，含66套火锅桌、132套沙发椅、10台冰柜、4套海鲜柜、消毒柜若干、油烟机等若干厨房设备；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2.所有打包好的货品包保护膜；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3.人工搬运至J甲方指定地点；</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0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A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00EF">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50B6">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2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包干价</w:t>
            </w:r>
          </w:p>
        </w:tc>
      </w:tr>
      <w:tr w14:paraId="2851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2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AB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吸顶机保护性拆除</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D9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1.吸顶机保护性拆除；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2.人工搬运至甲方指定地点；</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C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9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BF4F">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A722">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B8FF">
            <w:pPr>
              <w:rPr>
                <w:rFonts w:hint="eastAsia" w:ascii="宋体" w:hAnsi="宋体" w:eastAsia="宋体" w:cs="宋体"/>
                <w:i w:val="0"/>
                <w:iCs w:val="0"/>
                <w:color w:val="000000"/>
                <w:sz w:val="18"/>
                <w:szCs w:val="18"/>
                <w:u w:val="none"/>
              </w:rPr>
            </w:pPr>
          </w:p>
        </w:tc>
      </w:tr>
      <w:tr w14:paraId="577B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F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67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夜间施工抢工补贴及施工保险</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34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1、夜间施工及抢工补贴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2、包含购买施工保险及成品保护    </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6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C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B486">
            <w:pPr>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C1A7">
            <w:pPr>
              <w:jc w:val="center"/>
              <w:rPr>
                <w:rFonts w:hint="eastAsia" w:ascii="宋体" w:hAnsi="宋体" w:eastAsia="宋体" w:cs="宋体"/>
                <w:i w:val="0"/>
                <w:iCs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C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包干价</w:t>
            </w:r>
          </w:p>
        </w:tc>
      </w:tr>
      <w:tr w14:paraId="7EA6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C048">
            <w:pP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57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去税总价</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87EA">
            <w:pP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0D04">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E67B">
            <w:pP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180D">
            <w:pP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8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3753">
            <w:pPr>
              <w:rPr>
                <w:rFonts w:hint="eastAsia" w:ascii="宋体" w:hAnsi="宋体" w:eastAsia="宋体" w:cs="宋体"/>
                <w:i w:val="0"/>
                <w:iCs w:val="0"/>
                <w:color w:val="000000"/>
                <w:sz w:val="18"/>
                <w:szCs w:val="18"/>
                <w:u w:val="none"/>
              </w:rPr>
            </w:pPr>
          </w:p>
        </w:tc>
      </w:tr>
      <w:tr w14:paraId="1391E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5356">
            <w:pP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5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税额</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1233">
            <w:pP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FCEF">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8D42">
            <w:pP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F863">
            <w:pP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B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9020">
            <w:pPr>
              <w:rPr>
                <w:rFonts w:hint="eastAsia" w:ascii="宋体" w:hAnsi="宋体" w:eastAsia="宋体" w:cs="宋体"/>
                <w:i w:val="0"/>
                <w:iCs w:val="0"/>
                <w:color w:val="000000"/>
                <w:sz w:val="18"/>
                <w:szCs w:val="18"/>
                <w:u w:val="none"/>
              </w:rPr>
            </w:pPr>
          </w:p>
        </w:tc>
      </w:tr>
      <w:tr w14:paraId="7126E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6A3E">
            <w:pP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FC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C33A">
            <w:pP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8821">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E064">
            <w:pP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AA2C">
            <w:pP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3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F407">
            <w:pPr>
              <w:rPr>
                <w:rFonts w:hint="eastAsia" w:ascii="宋体" w:hAnsi="宋体" w:eastAsia="宋体" w:cs="宋体"/>
                <w:i w:val="0"/>
                <w:iCs w:val="0"/>
                <w:color w:val="000000"/>
                <w:sz w:val="18"/>
                <w:szCs w:val="18"/>
                <w:u w:val="none"/>
              </w:rPr>
            </w:pPr>
          </w:p>
        </w:tc>
      </w:tr>
      <w:tr w14:paraId="19B1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1667">
            <w:pPr>
              <w:rPr>
                <w:rFonts w:hint="eastAsia" w:ascii="宋体" w:hAnsi="宋体" w:eastAsia="宋体" w:cs="宋体"/>
                <w:i w:val="0"/>
                <w:iCs w:val="0"/>
                <w:color w:val="000000"/>
                <w:sz w:val="18"/>
                <w:szCs w:val="18"/>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5C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含税总价</w:t>
            </w:r>
          </w:p>
        </w:tc>
        <w:tc>
          <w:tcPr>
            <w:tcW w:w="3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5A6D">
            <w:pP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7B46">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CA09">
            <w:pP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8A32">
            <w:pP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6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06F6">
            <w:pPr>
              <w:rPr>
                <w:rFonts w:hint="eastAsia" w:ascii="宋体" w:hAnsi="宋体" w:eastAsia="宋体" w:cs="宋体"/>
                <w:i w:val="0"/>
                <w:iCs w:val="0"/>
                <w:color w:val="000000"/>
                <w:sz w:val="18"/>
                <w:szCs w:val="18"/>
                <w:u w:val="none"/>
              </w:rPr>
            </w:pPr>
          </w:p>
        </w:tc>
      </w:tr>
    </w:tbl>
    <w:p w14:paraId="51F7AAC6">
      <w:pPr>
        <w:spacing w:line="480" w:lineRule="auto"/>
        <w:rPr>
          <w:rFonts w:hint="default"/>
          <w:b/>
          <w:bCs/>
          <w:lang w:val="en-US" w:eastAsia="zh-CN"/>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DAE63"/>
    <w:multiLevelType w:val="singleLevel"/>
    <w:tmpl w:val="BF6DAE63"/>
    <w:lvl w:ilvl="0" w:tentative="0">
      <w:start w:val="2"/>
      <w:numFmt w:val="decimal"/>
      <w:suff w:val="nothing"/>
      <w:lvlText w:val="%1、"/>
      <w:lvlJc w:val="left"/>
    </w:lvl>
  </w:abstractNum>
  <w:abstractNum w:abstractNumId="1">
    <w:nsid w:val="04393490"/>
    <w:multiLevelType w:val="multilevel"/>
    <w:tmpl w:val="04393490"/>
    <w:lvl w:ilvl="0" w:tentative="0">
      <w:start w:val="5"/>
      <w:numFmt w:val="decimal"/>
      <w:lvlText w:val="%1"/>
      <w:lvlJc w:val="left"/>
      <w:pPr>
        <w:tabs>
          <w:tab w:val="left" w:pos="360"/>
        </w:tabs>
        <w:ind w:left="340" w:hanging="340"/>
      </w:pPr>
      <w:rPr>
        <w:rFonts w:hint="eastAsia" w:ascii="Times New Roman" w:hAnsi="Times New Roman" w:eastAsia="宋体" w:cs="Times New Roman"/>
        <w:b w:val="0"/>
      </w:rPr>
    </w:lvl>
    <w:lvl w:ilvl="1" w:tentative="0">
      <w:start w:val="1"/>
      <w:numFmt w:val="decimal"/>
      <w:isLgl/>
      <w:lvlText w:val="%1.%2"/>
      <w:lvlJc w:val="left"/>
      <w:pPr>
        <w:tabs>
          <w:tab w:val="left" w:pos="360"/>
        </w:tabs>
        <w:ind w:left="360" w:hanging="360"/>
      </w:pPr>
      <w:rPr>
        <w:rFonts w:hint="default" w:ascii="Times New Roman" w:hAnsi="Times New Roman" w:eastAsia="宋体" w:cs="Times New Roman"/>
        <w:b w:val="0"/>
        <w:color w:val="auto"/>
        <w:sz w:val="24"/>
        <w:szCs w:val="24"/>
      </w:rPr>
    </w:lvl>
    <w:lvl w:ilvl="2" w:tentative="0">
      <w:start w:val="1"/>
      <w:numFmt w:val="decimal"/>
      <w:lvlText w:val="(%3)"/>
      <w:lvlJc w:val="left"/>
      <w:pPr>
        <w:tabs>
          <w:tab w:val="left" w:pos="425"/>
        </w:tabs>
        <w:ind w:left="425" w:hanging="425"/>
      </w:pPr>
      <w:rPr>
        <w:rFonts w:hint="default" w:ascii="Times New Roman" w:hAnsi="Times New Roman" w:cs="Times New Roman"/>
        <w:b w:val="0"/>
        <w:sz w:val="24"/>
        <w:szCs w:val="24"/>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10B520E0"/>
    <w:multiLevelType w:val="multilevel"/>
    <w:tmpl w:val="10B520E0"/>
    <w:lvl w:ilvl="0" w:tentative="0">
      <w:start w:val="1"/>
      <w:numFmt w:val="decimal"/>
      <w:lvlText w:val="%1"/>
      <w:lvlJc w:val="left"/>
      <w:pPr>
        <w:tabs>
          <w:tab w:val="left" w:pos="360"/>
        </w:tabs>
        <w:ind w:left="340" w:hanging="340"/>
      </w:pPr>
      <w:rPr>
        <w:rFonts w:ascii="Times New Roman" w:hAnsi="Times New Roman" w:eastAsia="宋体" w:cs="Times New Roman"/>
        <w:b w:val="0"/>
      </w:rPr>
    </w:lvl>
    <w:lvl w:ilvl="1" w:tentative="0">
      <w:start w:val="1"/>
      <w:numFmt w:val="decimal"/>
      <w:isLgl/>
      <w:lvlText w:val="%1.%2"/>
      <w:lvlJc w:val="left"/>
      <w:pPr>
        <w:tabs>
          <w:tab w:val="left" w:pos="360"/>
        </w:tabs>
        <w:ind w:left="360" w:hanging="360"/>
      </w:pPr>
      <w:rPr>
        <w:rFonts w:hint="default" w:ascii="Times New Roman" w:hAnsi="Times New Roman" w:eastAsia="宋体" w:cs="Times New Roman"/>
        <w:b w:val="0"/>
      </w:rPr>
    </w:lvl>
    <w:lvl w:ilvl="2" w:tentative="0">
      <w:start w:val="1"/>
      <w:numFmt w:val="decimal"/>
      <w:isLgl/>
      <w:lvlText w:val="%3、"/>
      <w:lvlJc w:val="left"/>
      <w:pPr>
        <w:tabs>
          <w:tab w:val="left" w:pos="720"/>
        </w:tabs>
        <w:ind w:left="720" w:hanging="720"/>
      </w:pPr>
      <w:rPr>
        <w:rFonts w:ascii="Times New Roman" w:hAnsi="Times New Roman" w:eastAsia="宋体" w:cs="Times New Roman"/>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1D5C0B31"/>
    <w:multiLevelType w:val="multilevel"/>
    <w:tmpl w:val="1D5C0B31"/>
    <w:lvl w:ilvl="0" w:tentative="0">
      <w:start w:val="1"/>
      <w:numFmt w:val="decimal"/>
      <w:lvlText w:val="（%1）"/>
      <w:lvlJc w:val="left"/>
      <w:pPr>
        <w:tabs>
          <w:tab w:val="left" w:pos="840"/>
        </w:tabs>
        <w:ind w:left="840" w:hanging="420"/>
      </w:pPr>
      <w:rPr>
        <w:rFonts w:hint="default"/>
        <w:b w:val="0"/>
        <w:i w:val="0"/>
        <w:sz w:val="21"/>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4">
    <w:nsid w:val="473454D0"/>
    <w:multiLevelType w:val="multilevel"/>
    <w:tmpl w:val="473454D0"/>
    <w:lvl w:ilvl="0" w:tentative="0">
      <w:start w:val="1"/>
      <w:numFmt w:val="decimal"/>
      <w:lvlText w:val="（%1）"/>
      <w:lvlJc w:val="left"/>
      <w:pPr>
        <w:ind w:left="900" w:hanging="420"/>
      </w:pPr>
      <w:rPr>
        <w:rFonts w:hint="default"/>
      </w:rPr>
    </w:lvl>
    <w:lvl w:ilvl="1" w:tentative="0">
      <w:start w:val="1"/>
      <w:numFmt w:val="japaneseCounting"/>
      <w:lvlText w:val="%2、"/>
      <w:lvlJc w:val="left"/>
      <w:pPr>
        <w:ind w:left="1620" w:hanging="720"/>
      </w:pPr>
      <w:rPr>
        <w:rFonts w:hint="default"/>
      </w:rPr>
    </w:lvl>
    <w:lvl w:ilvl="2" w:tentative="0">
      <w:start w:val="1"/>
      <w:numFmt w:val="decimal"/>
      <w:lvlText w:val="（%3）"/>
      <w:lvlJc w:val="left"/>
      <w:pPr>
        <w:ind w:left="1740" w:hanging="420"/>
      </w:pPr>
      <w:rPr>
        <w:rFonts w:hint="default"/>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8947432"/>
    <w:multiLevelType w:val="multilevel"/>
    <w:tmpl w:val="58947432"/>
    <w:lvl w:ilvl="0" w:tentative="0">
      <w:start w:val="1"/>
      <w:numFmt w:val="chineseCountingThousand"/>
      <w:lvlText w:val="第%1节"/>
      <w:lvlJc w:val="left"/>
      <w:pPr>
        <w:tabs>
          <w:tab w:val="left" w:pos="284"/>
        </w:tabs>
        <w:ind w:left="0" w:firstLine="0"/>
      </w:pPr>
      <w:rPr>
        <w:rFonts w:hint="eastAsia" w:ascii="宋体" w:eastAsia="宋体"/>
        <w:b/>
        <w:i w:val="0"/>
        <w:sz w:val="28"/>
        <w:szCs w:val="24"/>
      </w:rPr>
    </w:lvl>
    <w:lvl w:ilvl="1" w:tentative="0">
      <w:start w:val="1"/>
      <w:numFmt w:val="none"/>
      <w:isLgl/>
      <w:lvlText w:val="%1"/>
      <w:lvlJc w:val="left"/>
      <w:pPr>
        <w:tabs>
          <w:tab w:val="left" w:pos="567"/>
        </w:tabs>
        <w:ind w:left="567" w:hanging="567"/>
      </w:pPr>
      <w:rPr>
        <w:rFonts w:hint="eastAsia" w:ascii="宋体" w:eastAsia="宋体"/>
        <w:b w:val="0"/>
        <w:i w:val="0"/>
        <w:sz w:val="24"/>
        <w:szCs w:val="24"/>
      </w:rPr>
    </w:lvl>
    <w:lvl w:ilvl="2" w:tentative="0">
      <w:start w:val="1"/>
      <w:numFmt w:val="decimal"/>
      <w:isLgl/>
      <w:lvlText w:val="1.%3"/>
      <w:lvlJc w:val="left"/>
      <w:pPr>
        <w:tabs>
          <w:tab w:val="left" w:pos="567"/>
        </w:tabs>
        <w:ind w:left="720" w:hanging="266"/>
      </w:pPr>
      <w:rPr>
        <w:rFonts w:hint="eastAsia" w:eastAsia="宋体"/>
        <w:b w:val="0"/>
        <w:i w:val="0"/>
        <w:sz w:val="24"/>
        <w:szCs w:val="24"/>
      </w:rPr>
    </w:lvl>
    <w:lvl w:ilvl="3" w:tentative="0">
      <w:start w:val="1"/>
      <w:numFmt w:val="decimal"/>
      <w:lvlText w:val="1.1.%4"/>
      <w:lvlJc w:val="left"/>
      <w:pPr>
        <w:tabs>
          <w:tab w:val="left" w:pos="864"/>
        </w:tabs>
        <w:ind w:left="862" w:firstLine="272"/>
      </w:pPr>
      <w:rPr>
        <w:rFonts w:hint="eastAsia"/>
      </w:rPr>
    </w:lvl>
    <w:lvl w:ilvl="4" w:tentative="0">
      <w:start w:val="1"/>
      <w:numFmt w:val="decimal"/>
      <w:lvlText w:val="%5)"/>
      <w:lvlJc w:val="left"/>
      <w:pPr>
        <w:tabs>
          <w:tab w:val="left" w:pos="1008"/>
        </w:tabs>
        <w:ind w:left="1009" w:firstLine="69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6">
    <w:nsid w:val="6EB735D9"/>
    <w:multiLevelType w:val="multilevel"/>
    <w:tmpl w:val="6EB735D9"/>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2"/>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2"/>
  </w:compat>
  <w:docVars>
    <w:docVar w:name="commondata" w:val="eyJoZGlkIjoiMzczNzk1OTVlYjEyYzYzNDIwMzg1YzNhMDU5MWJhOWYifQ=="/>
  </w:docVars>
  <w:rsids>
    <w:rsidRoot w:val="00537E64"/>
    <w:rsid w:val="002E5B40"/>
    <w:rsid w:val="00323B43"/>
    <w:rsid w:val="003D37D8"/>
    <w:rsid w:val="004358AB"/>
    <w:rsid w:val="00537E64"/>
    <w:rsid w:val="00543567"/>
    <w:rsid w:val="00633786"/>
    <w:rsid w:val="008B7726"/>
    <w:rsid w:val="009613F3"/>
    <w:rsid w:val="00D933CF"/>
    <w:rsid w:val="00EA4965"/>
    <w:rsid w:val="00EA4CD2"/>
    <w:rsid w:val="00EB6F20"/>
    <w:rsid w:val="00F6231F"/>
    <w:rsid w:val="00FB7957"/>
    <w:rsid w:val="017E651E"/>
    <w:rsid w:val="01A3073B"/>
    <w:rsid w:val="0285106F"/>
    <w:rsid w:val="03C230FA"/>
    <w:rsid w:val="060317A8"/>
    <w:rsid w:val="063B7F0B"/>
    <w:rsid w:val="08580752"/>
    <w:rsid w:val="088C1F29"/>
    <w:rsid w:val="094338E5"/>
    <w:rsid w:val="0A650C83"/>
    <w:rsid w:val="0BE8391A"/>
    <w:rsid w:val="0CB557AF"/>
    <w:rsid w:val="0EB775D4"/>
    <w:rsid w:val="11C35795"/>
    <w:rsid w:val="12E56E05"/>
    <w:rsid w:val="12F048B5"/>
    <w:rsid w:val="13CD0607"/>
    <w:rsid w:val="14172FEE"/>
    <w:rsid w:val="169A1CB5"/>
    <w:rsid w:val="171F389B"/>
    <w:rsid w:val="17614581"/>
    <w:rsid w:val="17B270B2"/>
    <w:rsid w:val="17D66D1D"/>
    <w:rsid w:val="17F3167D"/>
    <w:rsid w:val="183A54FD"/>
    <w:rsid w:val="1A3B1CAB"/>
    <w:rsid w:val="1A496AFF"/>
    <w:rsid w:val="1A98650B"/>
    <w:rsid w:val="1B021310"/>
    <w:rsid w:val="1CAB69CA"/>
    <w:rsid w:val="1D644DCB"/>
    <w:rsid w:val="1D7768AC"/>
    <w:rsid w:val="1E075AE2"/>
    <w:rsid w:val="1E312EFF"/>
    <w:rsid w:val="1E635082"/>
    <w:rsid w:val="211F1734"/>
    <w:rsid w:val="21333432"/>
    <w:rsid w:val="220B170D"/>
    <w:rsid w:val="240D1D18"/>
    <w:rsid w:val="245E07C6"/>
    <w:rsid w:val="24D942F0"/>
    <w:rsid w:val="253F37A8"/>
    <w:rsid w:val="27CA2CE3"/>
    <w:rsid w:val="27DD40F7"/>
    <w:rsid w:val="284B3285"/>
    <w:rsid w:val="28936B14"/>
    <w:rsid w:val="28AE7472"/>
    <w:rsid w:val="29437747"/>
    <w:rsid w:val="29D46E34"/>
    <w:rsid w:val="2B1F7121"/>
    <w:rsid w:val="2E953036"/>
    <w:rsid w:val="2F176141"/>
    <w:rsid w:val="2FD47B8E"/>
    <w:rsid w:val="300C557A"/>
    <w:rsid w:val="305A2E9E"/>
    <w:rsid w:val="315C2C41"/>
    <w:rsid w:val="322841C1"/>
    <w:rsid w:val="33743B62"/>
    <w:rsid w:val="33C5645B"/>
    <w:rsid w:val="35951B6D"/>
    <w:rsid w:val="35E338F4"/>
    <w:rsid w:val="36251143"/>
    <w:rsid w:val="36272726"/>
    <w:rsid w:val="36497887"/>
    <w:rsid w:val="366C6D72"/>
    <w:rsid w:val="376932B2"/>
    <w:rsid w:val="384A6C3F"/>
    <w:rsid w:val="38AE3672"/>
    <w:rsid w:val="38F92413"/>
    <w:rsid w:val="39227BBC"/>
    <w:rsid w:val="3A75152D"/>
    <w:rsid w:val="3B5424B5"/>
    <w:rsid w:val="3CE30D44"/>
    <w:rsid w:val="3CED1941"/>
    <w:rsid w:val="3CF4361D"/>
    <w:rsid w:val="3CFD6976"/>
    <w:rsid w:val="3DA75212"/>
    <w:rsid w:val="3E3068D7"/>
    <w:rsid w:val="3EA7528B"/>
    <w:rsid w:val="3F2F3033"/>
    <w:rsid w:val="3F4516BE"/>
    <w:rsid w:val="401F30A7"/>
    <w:rsid w:val="407231D7"/>
    <w:rsid w:val="41A53138"/>
    <w:rsid w:val="422D3D55"/>
    <w:rsid w:val="42332E3A"/>
    <w:rsid w:val="427D5E63"/>
    <w:rsid w:val="44086C26"/>
    <w:rsid w:val="44A678F3"/>
    <w:rsid w:val="44BA339E"/>
    <w:rsid w:val="45152F6A"/>
    <w:rsid w:val="45592BB7"/>
    <w:rsid w:val="45941E41"/>
    <w:rsid w:val="45985773"/>
    <w:rsid w:val="464D2E24"/>
    <w:rsid w:val="46C91677"/>
    <w:rsid w:val="47961EA1"/>
    <w:rsid w:val="489363E0"/>
    <w:rsid w:val="49417BEA"/>
    <w:rsid w:val="4B02784D"/>
    <w:rsid w:val="4B257098"/>
    <w:rsid w:val="4C365A00"/>
    <w:rsid w:val="4C934C01"/>
    <w:rsid w:val="4CFB4554"/>
    <w:rsid w:val="4DB017E2"/>
    <w:rsid w:val="4E720846"/>
    <w:rsid w:val="4FE929FE"/>
    <w:rsid w:val="50EE68AA"/>
    <w:rsid w:val="514566E6"/>
    <w:rsid w:val="51CF68F9"/>
    <w:rsid w:val="51DA0BDC"/>
    <w:rsid w:val="52DA09BA"/>
    <w:rsid w:val="541F4FCC"/>
    <w:rsid w:val="54972DB4"/>
    <w:rsid w:val="55012924"/>
    <w:rsid w:val="559E5F1F"/>
    <w:rsid w:val="576D24F2"/>
    <w:rsid w:val="58896EB8"/>
    <w:rsid w:val="58F80652"/>
    <w:rsid w:val="5A2275C4"/>
    <w:rsid w:val="5A3D7F5A"/>
    <w:rsid w:val="5C1B42CB"/>
    <w:rsid w:val="5EB15768"/>
    <w:rsid w:val="5F4E49B7"/>
    <w:rsid w:val="615F4C5A"/>
    <w:rsid w:val="62C10A41"/>
    <w:rsid w:val="651112FC"/>
    <w:rsid w:val="6673471B"/>
    <w:rsid w:val="69624C0C"/>
    <w:rsid w:val="6A771266"/>
    <w:rsid w:val="6A896ED9"/>
    <w:rsid w:val="6B312EB3"/>
    <w:rsid w:val="6B3709F5"/>
    <w:rsid w:val="6B8359E9"/>
    <w:rsid w:val="6BBD714D"/>
    <w:rsid w:val="6C711CE5"/>
    <w:rsid w:val="6CB63475"/>
    <w:rsid w:val="6EF72976"/>
    <w:rsid w:val="6F2E3EBD"/>
    <w:rsid w:val="6FFE7D34"/>
    <w:rsid w:val="70A51396"/>
    <w:rsid w:val="70CE7706"/>
    <w:rsid w:val="730131BE"/>
    <w:rsid w:val="731A162D"/>
    <w:rsid w:val="758C0809"/>
    <w:rsid w:val="76612DCA"/>
    <w:rsid w:val="77335A15"/>
    <w:rsid w:val="795E2293"/>
    <w:rsid w:val="79F20909"/>
    <w:rsid w:val="7A114437"/>
    <w:rsid w:val="7B072192"/>
    <w:rsid w:val="7B1B5C3E"/>
    <w:rsid w:val="7B8C6B3B"/>
    <w:rsid w:val="7EC565EC"/>
    <w:rsid w:val="7F0B3ECA"/>
    <w:rsid w:val="7FB623D9"/>
    <w:rsid w:val="7FCA7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1"/>
    <w:qFormat/>
    <w:uiPriority w:val="0"/>
    <w:rPr>
      <w:sz w:val="24"/>
      <w:szCs w:val="20"/>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character" w:customStyle="1" w:styleId="9">
    <w:name w:val="标题 1 Char"/>
    <w:basedOn w:val="6"/>
    <w:link w:val="2"/>
    <w:qFormat/>
    <w:uiPriority w:val="0"/>
    <w:rPr>
      <w:b/>
      <w:bCs/>
      <w:kern w:val="44"/>
      <w:sz w:val="44"/>
      <w:szCs w:val="44"/>
    </w:rPr>
  </w:style>
  <w:style w:type="character" w:customStyle="1" w:styleId="10">
    <w:name w:val="标题 2 Char"/>
    <w:basedOn w:val="6"/>
    <w:link w:val="3"/>
    <w:qFormat/>
    <w:uiPriority w:val="0"/>
    <w:rPr>
      <w:rFonts w:ascii="Cambria" w:hAnsi="Cambria"/>
      <w:b/>
      <w:bCs/>
      <w:kern w:val="2"/>
      <w:sz w:val="32"/>
      <w:szCs w:val="32"/>
    </w:rPr>
  </w:style>
  <w:style w:type="character" w:customStyle="1" w:styleId="11">
    <w:name w:val="日期 Char"/>
    <w:basedOn w:val="6"/>
    <w:link w:val="4"/>
    <w:qFormat/>
    <w:uiPriority w:val="0"/>
    <w:rPr>
      <w:kern w:val="2"/>
      <w:sz w:val="24"/>
    </w:rPr>
  </w:style>
  <w:style w:type="paragraph" w:customStyle="1" w:styleId="12">
    <w:name w:val="font5"/>
    <w:basedOn w:val="1"/>
    <w:qFormat/>
    <w:uiPriority w:val="0"/>
    <w:pPr>
      <w:widowControl/>
      <w:spacing w:before="100" w:beforeAutospacing="1" w:after="100" w:afterAutospacing="1"/>
      <w:jc w:val="left"/>
    </w:pPr>
    <w:rPr>
      <w:rFonts w:ascii="Tahoma" w:hAnsi="Tahoma" w:cs="Tahoma"/>
      <w:color w:val="000000"/>
      <w:kern w:val="0"/>
      <w:sz w:val="22"/>
      <w:szCs w:val="22"/>
    </w:rPr>
  </w:style>
  <w:style w:type="paragraph" w:customStyle="1" w:styleId="13">
    <w:name w:val="font6"/>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14">
    <w:name w:val="font7"/>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5">
    <w:name w:val="xl414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6">
    <w:name w:val="xl414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7">
    <w:name w:val="xl414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
    <w:name w:val="xl414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
    <w:name w:val="xl414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20">
    <w:name w:val="xl414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1">
    <w:name w:val="xl414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
    <w:name w:val="xl414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
    <w:name w:val="xl414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
    <w:name w:val="xl414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5">
    <w:name w:val="xl41459"/>
    <w:basedOn w:val="1"/>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6">
    <w:name w:val="xl4146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
    <w:name w:val="xl414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8">
    <w:name w:val="xl414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
    <w:name w:val="xl41463"/>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0">
    <w:name w:val="xl414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1">
    <w:name w:val="xl414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
    <w:name w:val="xl414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3">
    <w:name w:val="xl4146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4">
    <w:name w:val="xl41468"/>
    <w:basedOn w:val="1"/>
    <w:qFormat/>
    <w:uiPriority w:val="0"/>
    <w:pPr>
      <w:widowControl/>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5">
    <w:name w:val="xl41469"/>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36">
    <w:name w:val="xl414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37">
    <w:name w:val="xl414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8">
    <w:name w:val="xl414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9">
    <w:name w:val="xl414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
    <w:name w:val="xl414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1">
    <w:name w:val="xl41475"/>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4228</Words>
  <Characters>4344</Characters>
  <Lines>61</Lines>
  <Paragraphs>17</Paragraphs>
  <TotalTime>2</TotalTime>
  <ScaleCrop>false</ScaleCrop>
  <LinksUpToDate>false</LinksUpToDate>
  <CharactersWithSpaces>4880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2021-09-04T07:38:00Z</dcterms:created>
  <dc:creator>黄冬萍</dc:creator>
  <cp:lastModifiedBy>丁鑫晨</cp:lastModifiedBy>
  <dcterms:modified xsi:type="dcterms:W3CDTF">2026-07-07T06:09:18Z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8082C3CCFC9F4262B64EC82D03E26E3B</vt:lpwstr>
  </property>
  <property fmtid="{D5CDD505-2E9C-101B-9397-08002B2CF9AE}" pid="4" name="KSOTemplateDocerSaveRecord">
    <vt:lpwstr>eyJoZGlkIjoiOTA5YTJmNGQ2ZTY4NjQ3MjY5ZjdjZGVkNGY0YzhmYzAiLCJ1c2VySWQiOiI1ODQ2NTU2OTQifQ==</vt:lpwstr>
  </property>
</Properties>
</file>