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黑体" w:eastAsia="黑体"/>
          <w:b/>
          <w:sz w:val="52"/>
          <w:szCs w:val="52"/>
        </w:rPr>
      </w:pPr>
      <w:r>
        <w:rPr>
          <w:rFonts w:hint="eastAsia" w:ascii="宋体" w:hAnsi="宋体"/>
          <w:b/>
          <w:sz w:val="44"/>
          <w:szCs w:val="44"/>
          <w:lang w:val="en-US" w:eastAsia="zh-CN"/>
        </w:rPr>
        <w:t>2024年1#2#配电房检查试验项目</w:t>
      </w: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4</w:t>
      </w:r>
      <w:r>
        <w:rPr>
          <w:rFonts w:hint="eastAsia"/>
          <w:sz w:val="30"/>
          <w:szCs w:val="30"/>
        </w:rPr>
        <w:t>年</w:t>
      </w:r>
      <w:r>
        <w:rPr>
          <w:rFonts w:hint="eastAsia"/>
          <w:sz w:val="30"/>
          <w:szCs w:val="30"/>
          <w:lang w:val="en-US" w:eastAsia="zh-CN"/>
        </w:rPr>
        <w:t>3</w:t>
      </w:r>
      <w:r>
        <w:rPr>
          <w:rFonts w:hint="eastAsia"/>
          <w:sz w:val="30"/>
          <w:szCs w:val="30"/>
        </w:rPr>
        <w:t>月</w:t>
      </w:r>
      <w:r>
        <w:rPr>
          <w:rFonts w:hint="eastAsia"/>
          <w:sz w:val="30"/>
          <w:szCs w:val="30"/>
          <w:lang w:val="en-US" w:eastAsia="zh-CN"/>
        </w:rPr>
        <w:t>15</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hint="eastAsia" w:ascii="宋体" w:hAnsi="宋体"/>
          <w:b/>
          <w:color w:val="000000"/>
          <w:sz w:val="24"/>
          <w:u w:val="single"/>
        </w:rPr>
      </w:pPr>
    </w:p>
    <w:p>
      <w:pPr>
        <w:spacing w:line="400" w:lineRule="exact"/>
        <w:rPr>
          <w:rFonts w:hint="eastAsia"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szCs w:val="24"/>
          <w:u w:val="single"/>
          <w:lang w:eastAsia="zh-CN"/>
        </w:rPr>
        <w:t>淮南八佰伴</w:t>
      </w:r>
      <w:r>
        <w:rPr>
          <w:rFonts w:hint="eastAsia" w:ascii="宋体" w:hAnsi="宋体"/>
          <w:b/>
          <w:color w:val="000000"/>
          <w:sz w:val="24"/>
          <w:szCs w:val="24"/>
          <w:u w:val="single"/>
          <w:lang w:val="en-US" w:eastAsia="zh-CN"/>
        </w:rPr>
        <w:t>1#2#配电房检测试验项目</w:t>
      </w:r>
      <w:r>
        <w:rPr>
          <w:rFonts w:hint="eastAsia" w:ascii="宋体" w:hAnsi="宋体"/>
          <w:b/>
          <w:color w:val="000000"/>
          <w:sz w:val="24"/>
          <w:u w:val="single"/>
        </w:rPr>
        <w:t xml:space="preserve">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b/>
          <w:bCs/>
          <w:color w:val="000000"/>
          <w:sz w:val="24"/>
          <w:lang w:val="en-US"/>
        </w:rPr>
      </w:pPr>
      <w:r>
        <w:rPr>
          <w:rFonts w:hint="eastAsia" w:ascii="宋体" w:hAnsi="宋体"/>
          <w:color w:val="000000"/>
          <w:sz w:val="24"/>
        </w:rPr>
        <w:t xml:space="preserve">   投标联系人：</w:t>
      </w:r>
      <w:r>
        <w:rPr>
          <w:rFonts w:hint="eastAsia" w:ascii="宋体" w:hAnsi="宋体"/>
          <w:b/>
          <w:bCs/>
          <w:color w:val="000000"/>
          <w:sz w:val="24"/>
          <w:lang w:val="en-US" w:eastAsia="zh-CN"/>
        </w:rPr>
        <w:t>舒富强</w:t>
      </w:r>
      <w:r>
        <w:rPr>
          <w:rFonts w:hint="eastAsia" w:ascii="宋体" w:hAnsi="宋体"/>
          <w:b/>
          <w:bCs/>
          <w:color w:val="000000"/>
          <w:sz w:val="24"/>
        </w:rPr>
        <w:t xml:space="preserve">  </w:t>
      </w:r>
      <w:r>
        <w:rPr>
          <w:rFonts w:hint="eastAsia" w:ascii="宋体" w:hAnsi="宋体"/>
          <w:b/>
          <w:bCs/>
          <w:color w:val="000000"/>
          <w:sz w:val="24"/>
          <w:lang w:val="en-US" w:eastAsia="zh-CN"/>
        </w:rPr>
        <w:t>18900541393</w:t>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ind w:firstLine="3600" w:firstLineChars="1200"/>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w:t>
            </w:r>
            <w:r>
              <w:rPr>
                <w:rFonts w:hint="eastAsia" w:ascii="宋体" w:hAnsi="宋体"/>
                <w:szCs w:val="21"/>
                <w:lang w:val="en-US" w:eastAsia="zh-CN"/>
              </w:rPr>
              <w:t>1#2#配电房检测试验项目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w:t>
            </w:r>
            <w:r>
              <w:rPr>
                <w:rFonts w:hint="eastAsia" w:ascii="宋体" w:hAnsi="宋体"/>
                <w:szCs w:val="21"/>
                <w:lang w:val="en-US" w:eastAsia="zh-CN"/>
              </w:rPr>
              <w:t>1#2#配电房检测试验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lang w:eastAsia="zh-CN"/>
              </w:rPr>
              <w:t>强电检测</w:t>
            </w:r>
            <w:r>
              <w:rPr>
                <w:rFonts w:hint="eastAsia"/>
                <w:color w:val="000000"/>
                <w:szCs w:val="21"/>
              </w:rPr>
              <w:t>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23</w:t>
            </w:r>
            <w:r>
              <w:rPr>
                <w:rFonts w:hint="eastAsia" w:ascii="宋体" w:hAnsi="宋体"/>
                <w:color w:val="000000"/>
                <w:szCs w:val="21"/>
              </w:rPr>
              <w:t>日，完工日期202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28</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w:t>
            </w:r>
            <w:r>
              <w:rPr>
                <w:rFonts w:hint="eastAsia" w:ascii="宋体" w:hAnsi="宋体"/>
                <w:b/>
                <w:bCs/>
                <w:color w:val="000000"/>
                <w:szCs w:val="21"/>
                <w:lang w:val="en-US" w:eastAsia="zh-CN"/>
              </w:rPr>
              <w:t>4</w:t>
            </w:r>
            <w:r>
              <w:rPr>
                <w:rFonts w:ascii="宋体" w:hAnsi="宋体"/>
                <w:b/>
                <w:bCs/>
                <w:color w:val="000000"/>
                <w:szCs w:val="21"/>
              </w:rPr>
              <w:t>年</w:t>
            </w:r>
            <w:r>
              <w:rPr>
                <w:rFonts w:hint="eastAsia" w:ascii="宋体" w:hAnsi="宋体"/>
                <w:b/>
                <w:bCs/>
                <w:color w:val="000000"/>
                <w:szCs w:val="21"/>
                <w:lang w:val="en-US" w:eastAsia="zh-CN"/>
              </w:rPr>
              <w:t>3</w:t>
            </w:r>
            <w:r>
              <w:rPr>
                <w:rFonts w:ascii="宋体" w:hAnsi="宋体"/>
                <w:b/>
                <w:bCs/>
                <w:color w:val="000000"/>
                <w:szCs w:val="21"/>
              </w:rPr>
              <w:t>月</w:t>
            </w:r>
            <w:r>
              <w:rPr>
                <w:rFonts w:hint="eastAsia" w:ascii="宋体" w:hAnsi="宋体"/>
                <w:b/>
                <w:bCs/>
                <w:color w:val="000000"/>
                <w:szCs w:val="21"/>
                <w:lang w:val="en-US" w:eastAsia="zh-CN"/>
              </w:rPr>
              <w:t>20</w:t>
            </w:r>
            <w:r>
              <w:rPr>
                <w:rFonts w:hint="eastAsia" w:ascii="宋体" w:hAnsi="宋体"/>
                <w:b/>
                <w:bCs/>
                <w:color w:val="000000"/>
                <w:szCs w:val="21"/>
              </w:rPr>
              <w:t>日（周五）下午5：00。</w:t>
            </w:r>
          </w:p>
          <w:p>
            <w:r>
              <w:rPr>
                <w:rFonts w:hint="eastAsia"/>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eastAsia="zh-CN"/>
              </w:rPr>
              <w:t>舒富强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965"/>
        <w:gridCol w:w="795"/>
        <w:gridCol w:w="2595"/>
        <w:gridCol w:w="1260"/>
        <w:gridCol w:w="1157"/>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numPr>
                <w:ilvl w:val="0"/>
                <w:numId w:val="0"/>
              </w:numPr>
              <w:ind w:leftChars="0"/>
              <w:jc w:val="center"/>
              <w:rPr>
                <w:rFonts w:ascii="宋体" w:hAnsi="宋体" w:cs="宋体"/>
                <w:kern w:val="0"/>
                <w:sz w:val="18"/>
                <w:szCs w:val="18"/>
              </w:rPr>
            </w:pPr>
            <w:r>
              <w:rPr>
                <w:rFonts w:hint="eastAsia" w:ascii="宋体" w:hAnsi="宋体" w:cs="宋体"/>
                <w:kern w:val="0"/>
                <w:sz w:val="18"/>
                <w:szCs w:val="18"/>
              </w:rPr>
              <w:t>项目</w:t>
            </w:r>
          </w:p>
        </w:tc>
        <w:tc>
          <w:tcPr>
            <w:tcW w:w="965" w:type="dxa"/>
            <w:tcBorders>
              <w:top w:val="single" w:color="auto" w:sz="8" w:space="0"/>
              <w:left w:val="nil"/>
              <w:bottom w:val="single" w:color="auto" w:sz="8" w:space="0"/>
              <w:right w:val="single" w:color="auto" w:sz="4" w:space="0"/>
            </w:tcBorders>
            <w:vAlign w:val="top"/>
          </w:tcPr>
          <w:p>
            <w:pPr>
              <w:jc w:val="center"/>
              <w:rPr>
                <w:rFonts w:ascii="宋体" w:hAnsi="宋体" w:cs="宋体"/>
                <w:kern w:val="0"/>
                <w:sz w:val="18"/>
                <w:szCs w:val="18"/>
              </w:rPr>
            </w:pPr>
            <w:r>
              <w:rPr>
                <w:rFonts w:hint="eastAsia" w:ascii="新宋体" w:hAnsi="新宋体" w:eastAsia="新宋体" w:cs="新宋体"/>
              </w:rPr>
              <w:t>数量（台）</w:t>
            </w:r>
          </w:p>
        </w:tc>
        <w:tc>
          <w:tcPr>
            <w:tcW w:w="795" w:type="dxa"/>
            <w:tcBorders>
              <w:top w:val="single" w:color="auto" w:sz="8" w:space="0"/>
              <w:left w:val="nil"/>
              <w:bottom w:val="single" w:color="auto" w:sz="8" w:space="0"/>
              <w:right w:val="single" w:color="auto" w:sz="4" w:space="0"/>
            </w:tcBorders>
            <w:vAlign w:val="top"/>
          </w:tcPr>
          <w:p>
            <w:pPr>
              <w:jc w:val="center"/>
              <w:rPr>
                <w:rFonts w:hint="eastAsia" w:ascii="宋体" w:hAnsi="宋体" w:eastAsia="宋体" w:cs="宋体"/>
                <w:kern w:val="0"/>
                <w:sz w:val="18"/>
                <w:szCs w:val="18"/>
                <w:lang w:eastAsia="zh-CN"/>
              </w:rPr>
            </w:pPr>
            <w:r>
              <w:rPr>
                <w:rFonts w:hint="eastAsia" w:ascii="新宋体" w:hAnsi="新宋体" w:eastAsia="新宋体" w:cs="新宋体"/>
              </w:rPr>
              <w:t>单价（元）</w:t>
            </w:r>
          </w:p>
        </w:tc>
        <w:tc>
          <w:tcPr>
            <w:tcW w:w="259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新宋体" w:hAnsi="新宋体" w:eastAsia="新宋体" w:cs="新宋体"/>
              </w:rPr>
              <w:t>试验项目</w:t>
            </w:r>
          </w:p>
        </w:tc>
        <w:tc>
          <w:tcPr>
            <w:tcW w:w="1260"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新宋体" w:hAnsi="新宋体" w:eastAsia="新宋体" w:cs="新宋体"/>
              </w:rPr>
              <w:t>合计（元）</w:t>
            </w:r>
          </w:p>
        </w:tc>
        <w:tc>
          <w:tcPr>
            <w:tcW w:w="115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836" w:type="dxa"/>
            <w:tcBorders>
              <w:top w:val="nil"/>
              <w:left w:val="nil"/>
              <w:bottom w:val="single" w:color="auto" w:sz="4" w:space="0"/>
              <w:right w:val="single" w:color="auto" w:sz="4" w:space="0"/>
            </w:tcBorders>
            <w:vAlign w:val="top"/>
          </w:tcPr>
          <w:p>
            <w:pPr>
              <w:numPr>
                <w:ilvl w:val="0"/>
                <w:numId w:val="0"/>
              </w:numPr>
              <w:snapToGrid w:val="0"/>
              <w:ind w:leftChars="0"/>
              <w:jc w:val="center"/>
              <w:rPr>
                <w:rFonts w:hint="eastAsia" w:ascii="新宋体" w:hAnsi="新宋体" w:eastAsia="新宋体" w:cs="新宋体"/>
              </w:rPr>
            </w:pPr>
          </w:p>
          <w:p>
            <w:pPr>
              <w:numPr>
                <w:ilvl w:val="0"/>
                <w:numId w:val="0"/>
              </w:numPr>
              <w:ind w:leftChars="0"/>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干式变压器</w:t>
            </w:r>
          </w:p>
        </w:tc>
        <w:tc>
          <w:tcPr>
            <w:tcW w:w="965" w:type="dxa"/>
            <w:tcBorders>
              <w:top w:val="nil"/>
              <w:left w:val="nil"/>
              <w:bottom w:val="single" w:color="auto" w:sz="4" w:space="0"/>
              <w:right w:val="single" w:color="auto" w:sz="4" w:space="0"/>
            </w:tcBorders>
            <w:vAlign w:val="top"/>
          </w:tcPr>
          <w:p>
            <w:pPr>
              <w:snapToGrid w:val="0"/>
              <w:jc w:val="center"/>
              <w:rPr>
                <w:rFonts w:hint="eastAsia" w:ascii="新宋体" w:hAnsi="新宋体" w:eastAsia="新宋体" w:cs="新宋体"/>
              </w:rPr>
            </w:pPr>
          </w:p>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10</w:t>
            </w:r>
          </w:p>
        </w:tc>
        <w:tc>
          <w:tcPr>
            <w:tcW w:w="795"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kern w:val="0"/>
                <w:sz w:val="18"/>
                <w:szCs w:val="18"/>
                <w:lang w:val="en-US" w:eastAsia="zh-CN"/>
              </w:rPr>
            </w:pPr>
          </w:p>
        </w:tc>
        <w:tc>
          <w:tcPr>
            <w:tcW w:w="2595" w:type="dxa"/>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变压器直流电阻测试、绝缘电阻测试、耐压、高温告警测试、超温跳闸测试、清扫及酒精擦拭，增加绝缘强度。</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7"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836" w:type="dxa"/>
            <w:tcBorders>
              <w:top w:val="nil"/>
              <w:left w:val="nil"/>
              <w:bottom w:val="single" w:color="auto" w:sz="4" w:space="0"/>
              <w:right w:val="single" w:color="auto" w:sz="4" w:space="0"/>
            </w:tcBorders>
            <w:vAlign w:val="top"/>
          </w:tcPr>
          <w:p>
            <w:pPr>
              <w:numPr>
                <w:ilvl w:val="0"/>
                <w:numId w:val="0"/>
              </w:numPr>
              <w:snapToGrid w:val="0"/>
              <w:ind w:leftChars="0"/>
              <w:jc w:val="center"/>
              <w:rPr>
                <w:rFonts w:hint="eastAsia" w:ascii="新宋体" w:hAnsi="新宋体" w:eastAsia="新宋体" w:cs="新宋体"/>
              </w:rPr>
            </w:pPr>
          </w:p>
          <w:p>
            <w:pPr>
              <w:numPr>
                <w:ilvl w:val="0"/>
                <w:numId w:val="0"/>
              </w:numPr>
              <w:ind w:leftChars="0"/>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高压柜电气试验</w:t>
            </w:r>
          </w:p>
        </w:tc>
        <w:tc>
          <w:tcPr>
            <w:tcW w:w="965" w:type="dxa"/>
            <w:tcBorders>
              <w:top w:val="nil"/>
              <w:left w:val="nil"/>
              <w:bottom w:val="single" w:color="auto" w:sz="4" w:space="0"/>
              <w:right w:val="single" w:color="auto" w:sz="4" w:space="0"/>
            </w:tcBorders>
            <w:vAlign w:val="top"/>
          </w:tcPr>
          <w:p>
            <w:pPr>
              <w:snapToGrid w:val="0"/>
              <w:jc w:val="center"/>
              <w:rPr>
                <w:rFonts w:hint="eastAsia" w:ascii="新宋体" w:hAnsi="新宋体" w:eastAsia="新宋体" w:cs="新宋体"/>
              </w:rPr>
            </w:pPr>
          </w:p>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21</w:t>
            </w:r>
          </w:p>
        </w:tc>
        <w:tc>
          <w:tcPr>
            <w:tcW w:w="795"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kern w:val="0"/>
                <w:sz w:val="18"/>
                <w:szCs w:val="18"/>
                <w:lang w:val="en-US" w:eastAsia="zh-CN"/>
              </w:rPr>
            </w:pPr>
          </w:p>
        </w:tc>
        <w:tc>
          <w:tcPr>
            <w:tcW w:w="2595" w:type="dxa"/>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手车断路器回路电阻测试、绝缘、耐压、母线绝缘电阻测试、耐压、清扫及酒精擦拭，增加绝缘强度。</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7"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2"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836" w:type="dxa"/>
            <w:tcBorders>
              <w:top w:val="nil"/>
              <w:left w:val="nil"/>
              <w:bottom w:val="single" w:color="auto" w:sz="4" w:space="0"/>
              <w:right w:val="single" w:color="auto" w:sz="4" w:space="0"/>
            </w:tcBorders>
            <w:vAlign w:val="top"/>
          </w:tcPr>
          <w:p>
            <w:pPr>
              <w:numPr>
                <w:ilvl w:val="0"/>
                <w:numId w:val="0"/>
              </w:numPr>
              <w:ind w:leftChars="0"/>
              <w:jc w:val="center"/>
            </w:pPr>
            <w:r>
              <w:t>高压柜综合</w:t>
            </w:r>
          </w:p>
          <w:p>
            <w:pPr>
              <w:numPr>
                <w:ilvl w:val="0"/>
                <w:numId w:val="0"/>
              </w:numPr>
              <w:ind w:leftChars="0"/>
              <w:jc w:val="center"/>
              <w:rPr>
                <w:rFonts w:hint="eastAsia" w:ascii="Times New Roman" w:hAnsi="Times New Roman" w:eastAsia="宋体" w:cs="Times New Roman"/>
                <w:kern w:val="2"/>
                <w:sz w:val="21"/>
                <w:szCs w:val="24"/>
                <w:lang w:val="en-US" w:eastAsia="zh-CN" w:bidi="ar-SA"/>
              </w:rPr>
            </w:pPr>
            <w:r>
              <w:t>保护试验</w:t>
            </w:r>
          </w:p>
        </w:tc>
        <w:tc>
          <w:tcPr>
            <w:tcW w:w="965" w:type="dxa"/>
            <w:tcBorders>
              <w:top w:val="nil"/>
              <w:left w:val="nil"/>
              <w:bottom w:val="single" w:color="auto" w:sz="4" w:space="0"/>
              <w:right w:val="single" w:color="auto" w:sz="4" w:space="0"/>
            </w:tcBorders>
            <w:vAlign w:val="top"/>
          </w:tcPr>
          <w:p>
            <w:pPr>
              <w:snapToGrid w:val="0"/>
              <w:jc w:val="center"/>
              <w:rPr>
                <w:rFonts w:hint="eastAsia" w:ascii="新宋体" w:hAnsi="新宋体" w:eastAsia="新宋体" w:cs="新宋体"/>
              </w:rPr>
            </w:pPr>
          </w:p>
          <w:p>
            <w:pPr>
              <w:snapToGrid w:val="0"/>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13</w:t>
            </w:r>
          </w:p>
        </w:tc>
        <w:tc>
          <w:tcPr>
            <w:tcW w:w="795"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kern w:val="0"/>
                <w:sz w:val="18"/>
                <w:szCs w:val="18"/>
                <w:lang w:val="en-US" w:eastAsia="zh-CN"/>
              </w:rPr>
            </w:pPr>
          </w:p>
        </w:tc>
        <w:tc>
          <w:tcPr>
            <w:tcW w:w="2595" w:type="dxa"/>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综合保护装置速断保护测试、过流保护测试、过负荷保护测试、二次接线排查。</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7"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2"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836" w:type="dxa"/>
            <w:tcBorders>
              <w:top w:val="nil"/>
              <w:left w:val="nil"/>
              <w:bottom w:val="single" w:color="auto" w:sz="4" w:space="0"/>
              <w:right w:val="single" w:color="auto" w:sz="4" w:space="0"/>
            </w:tcBorders>
            <w:vAlign w:val="top"/>
          </w:tcPr>
          <w:p>
            <w:pPr>
              <w:numPr>
                <w:ilvl w:val="0"/>
                <w:numId w:val="0"/>
              </w:numPr>
              <w:ind w:leftChars="0"/>
              <w:jc w:val="center"/>
            </w:pPr>
          </w:p>
          <w:p>
            <w:pPr>
              <w:numPr>
                <w:ilvl w:val="0"/>
                <w:numId w:val="0"/>
              </w:numPr>
              <w:ind w:leftChars="0"/>
              <w:jc w:val="center"/>
              <w:rPr>
                <w:rFonts w:ascii="Times New Roman" w:hAnsi="Times New Roman" w:eastAsia="宋体" w:cs="Times New Roman"/>
                <w:kern w:val="2"/>
                <w:sz w:val="21"/>
                <w:szCs w:val="24"/>
                <w:lang w:val="en-US" w:eastAsia="zh-CN" w:bidi="ar-SA"/>
              </w:rPr>
            </w:pPr>
            <w:r>
              <w:t>电压互感器测试</w:t>
            </w:r>
          </w:p>
        </w:tc>
        <w:tc>
          <w:tcPr>
            <w:tcW w:w="965" w:type="dxa"/>
            <w:tcBorders>
              <w:top w:val="nil"/>
              <w:left w:val="nil"/>
              <w:bottom w:val="single" w:color="auto" w:sz="4" w:space="0"/>
              <w:right w:val="single" w:color="auto" w:sz="4" w:space="0"/>
            </w:tcBorders>
            <w:vAlign w:val="top"/>
          </w:tcPr>
          <w:p>
            <w:pPr>
              <w:snapToGrid w:val="0"/>
              <w:jc w:val="center"/>
              <w:rPr>
                <w:rFonts w:hint="eastAsia" w:ascii="新宋体" w:hAnsi="新宋体" w:eastAsia="新宋体" w:cs="新宋体"/>
              </w:rPr>
            </w:pPr>
          </w:p>
          <w:p>
            <w:pPr>
              <w:snapToGrid w:val="0"/>
              <w:jc w:val="center"/>
              <w:rPr>
                <w:rFonts w:hint="eastAsia" w:ascii="新宋体" w:hAnsi="新宋体" w:eastAsia="新宋体" w:cs="新宋体"/>
              </w:rPr>
            </w:pPr>
          </w:p>
          <w:p>
            <w:pPr>
              <w:snapToGrid w:val="0"/>
              <w:jc w:val="center"/>
            </w:pPr>
            <w:r>
              <w:rPr>
                <w:rFonts w:hint="eastAsia" w:ascii="新宋体" w:hAnsi="新宋体" w:eastAsia="新宋体" w:cs="新宋体"/>
              </w:rPr>
              <w:t>4</w:t>
            </w:r>
          </w:p>
          <w:p>
            <w:pPr>
              <w:snapToGrid w:val="0"/>
              <w:jc w:val="center"/>
              <w:rPr>
                <w:rFonts w:hint="eastAsia" w:ascii="新宋体" w:hAnsi="新宋体" w:eastAsia="新宋体" w:cs="新宋体"/>
                <w:kern w:val="2"/>
                <w:sz w:val="21"/>
                <w:szCs w:val="24"/>
                <w:lang w:val="en-US" w:eastAsia="zh-CN" w:bidi="ar-SA"/>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5" w:type="dxa"/>
            <w:tcBorders>
              <w:top w:val="nil"/>
              <w:left w:val="nil"/>
              <w:bottom w:val="single" w:color="auto" w:sz="4" w:space="0"/>
              <w:right w:val="single" w:color="auto" w:sz="4" w:space="0"/>
            </w:tcBorders>
            <w:vAlign w:val="top"/>
          </w:tcPr>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电压互感器直流电阻测试、绝缘电阻测试、熔断器测试清扫及酒精擦拭，增加绝缘强度。</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7" w:type="dxa"/>
            <w:tcBorders>
              <w:top w:val="nil"/>
              <w:left w:val="nil"/>
              <w:bottom w:val="single" w:color="auto" w:sz="4" w:space="0"/>
              <w:right w:val="single" w:color="auto" w:sz="8" w:space="0"/>
            </w:tcBorders>
            <w:vAlign w:val="center"/>
          </w:tcPr>
          <w:p>
            <w:pPr>
              <w:widowControl/>
              <w:spacing w:line="380" w:lineRule="exact"/>
              <w:ind w:firstLine="360" w:firstLineChars="200"/>
              <w:jc w:val="left"/>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836"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ascii="Times New Roman" w:hAnsi="Times New Roman" w:eastAsia="宋体" w:cs="Times New Roman"/>
                <w:kern w:val="2"/>
                <w:sz w:val="21"/>
                <w:szCs w:val="24"/>
                <w:lang w:val="en-US" w:eastAsia="zh-CN" w:bidi="ar-SA"/>
              </w:rPr>
            </w:pPr>
            <w:r>
              <w:t>氧化锌避雷器测试</w:t>
            </w:r>
          </w:p>
        </w:tc>
        <w:tc>
          <w:tcPr>
            <w:tcW w:w="965"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新宋体" w:hAnsi="新宋体" w:eastAsia="新宋体" w:cs="新宋体"/>
              </w:rPr>
            </w:pPr>
          </w:p>
          <w:p>
            <w:pPr>
              <w:snapToGrid w:val="0"/>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19</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宋体" w:cs="Times New Roman"/>
                <w:kern w:val="2"/>
                <w:sz w:val="21"/>
                <w:szCs w:val="24"/>
                <w:lang w:val="en-US" w:eastAsia="zh-CN" w:bidi="ar-SA"/>
              </w:rPr>
            </w:pPr>
            <w:r>
              <w:rPr>
                <w:rFonts w:hint="eastAsia" w:ascii="新宋体" w:hAnsi="新宋体" w:eastAsia="新宋体" w:cs="新宋体"/>
              </w:rPr>
              <w:t>氧化锌避雷器绝缘电阻测试、泄露电流测试清扫及酒精擦拭，增加绝缘强度。</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836"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低压无功补偿、进线、出线、联络柜</w:t>
            </w:r>
          </w:p>
        </w:tc>
        <w:tc>
          <w:tcPr>
            <w:tcW w:w="965"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新宋体" w:hAnsi="新宋体" w:eastAsia="新宋体" w:cs="新宋体"/>
              </w:rPr>
            </w:pPr>
          </w:p>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41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低压母线绝缘电阻测试、二次传动测试、电容器测试、清扫及酒精擦拭，增加绝缘强度。</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高压出线电缆</w:t>
            </w:r>
          </w:p>
        </w:tc>
        <w:tc>
          <w:tcPr>
            <w:tcW w:w="965"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新宋体" w:hAnsi="新宋体" w:eastAsia="新宋体" w:cs="新宋体"/>
              </w:rPr>
            </w:pPr>
          </w:p>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10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绝缘电阻测试、直流耐压、电缆头清扫及酒精擦拭，增加绝缘强度。</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eastAsia" w:ascii="Times New Roman" w:hAnsi="Times New Roman" w:eastAsia="宋体" w:cs="Times New Roman"/>
                <w:kern w:val="2"/>
                <w:sz w:val="21"/>
                <w:szCs w:val="24"/>
                <w:lang w:val="en-US" w:eastAsia="zh-CN" w:bidi="ar-SA"/>
              </w:rPr>
            </w:pPr>
            <w:r>
              <w:rPr>
                <w:rFonts w:hint="eastAsia"/>
              </w:rPr>
              <w:t>开关柜手车动触头静触头</w:t>
            </w:r>
          </w:p>
        </w:tc>
        <w:tc>
          <w:tcPr>
            <w:tcW w:w="965" w:type="dxa"/>
            <w:tcBorders>
              <w:top w:val="single" w:color="auto" w:sz="4" w:space="0"/>
              <w:left w:val="single" w:color="auto" w:sz="4" w:space="0"/>
              <w:bottom w:val="single" w:color="auto" w:sz="4" w:space="0"/>
              <w:right w:val="single" w:color="auto" w:sz="4" w:space="0"/>
            </w:tcBorders>
            <w:vAlign w:val="top"/>
          </w:tcPr>
          <w:p>
            <w:pPr>
              <w:jc w:val="center"/>
              <w:rPr>
                <w:rFonts w:hint="eastAsia"/>
              </w:rPr>
            </w:pPr>
          </w:p>
          <w:p>
            <w:pPr>
              <w:jc w:val="center"/>
              <w:rPr>
                <w:rFonts w:hint="eastAsia" w:ascii="Times New Roman" w:hAnsi="Times New Roman" w:eastAsia="宋体" w:cs="Times New Roman"/>
                <w:kern w:val="2"/>
                <w:sz w:val="21"/>
                <w:szCs w:val="24"/>
                <w:lang w:val="en-US" w:eastAsia="zh-CN" w:bidi="ar-SA"/>
              </w:rPr>
            </w:pPr>
            <w:r>
              <w:rPr>
                <w:rFonts w:hint="eastAsia"/>
              </w:rPr>
              <w:t>17</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rPr>
              <w:t>检查并紧固高压开关柜手车动触头静触头松动程度</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top"/>
          </w:tcPr>
          <w:p>
            <w:pPr>
              <w:numPr>
                <w:ilvl w:val="0"/>
                <w:numId w:val="0"/>
              </w:numPr>
              <w:ind w:leftChars="0"/>
              <w:jc w:val="center"/>
              <w:rPr>
                <w:rFonts w:hint="eastAsia" w:ascii="新宋体" w:hAnsi="新宋体" w:eastAsia="新宋体" w:cs="新宋体"/>
                <w:kern w:val="2"/>
                <w:sz w:val="21"/>
                <w:szCs w:val="24"/>
                <w:lang w:val="en-US" w:eastAsia="zh-CN" w:bidi="ar-SA"/>
              </w:rPr>
            </w:pPr>
            <w:r>
              <w:rPr>
                <w:rFonts w:hint="eastAsia" w:ascii="新宋体" w:hAnsi="新宋体" w:eastAsia="新宋体" w:cs="新宋体"/>
              </w:rPr>
              <w:t>变压器分接开关螺丝</w:t>
            </w:r>
          </w:p>
        </w:tc>
        <w:tc>
          <w:tcPr>
            <w:tcW w:w="965" w:type="dxa"/>
            <w:tcBorders>
              <w:top w:val="single" w:color="auto" w:sz="4" w:space="0"/>
              <w:left w:val="single" w:color="auto" w:sz="4" w:space="0"/>
              <w:bottom w:val="single" w:color="auto" w:sz="4" w:space="0"/>
              <w:right w:val="single" w:color="auto" w:sz="4" w:space="0"/>
            </w:tcBorders>
            <w:vAlign w:val="top"/>
          </w:tcPr>
          <w:p>
            <w:pPr>
              <w:jc w:val="center"/>
              <w:rPr>
                <w:rFonts w:hint="eastAsia" w:ascii="新宋体" w:hAnsi="新宋体" w:eastAsia="新宋体" w:cs="新宋体"/>
              </w:rPr>
            </w:pPr>
          </w:p>
          <w:p>
            <w:pPr>
              <w:jc w:val="center"/>
              <w:rPr>
                <w:rFonts w:hint="eastAsia" w:ascii="新宋体" w:hAnsi="新宋体" w:eastAsia="新宋体" w:cs="新宋体"/>
                <w:kern w:val="2"/>
                <w:sz w:val="21"/>
                <w:szCs w:val="24"/>
                <w:lang w:val="en-US" w:eastAsia="zh-CN" w:bidi="ar-SA"/>
              </w:rPr>
            </w:pPr>
            <w:r>
              <w:rPr>
                <w:rFonts w:hint="eastAsia" w:ascii="新宋体" w:hAnsi="新宋体" w:eastAsia="新宋体" w:cs="新宋体"/>
              </w:rPr>
              <w:t>10</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ascii="新宋体" w:hAnsi="新宋体" w:eastAsia="新宋体" w:cs="新宋体"/>
              </w:rPr>
              <w:t>干式变压器分接开关螺丝检查并紧固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宋体" w:hAnsi="宋体" w:cs="宋体"/>
                <w:b/>
                <w:bCs/>
                <w:kern w:val="0"/>
                <w:sz w:val="18"/>
                <w:szCs w:val="18"/>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合计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11</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宋体" w:hAnsi="宋体" w:cs="宋体"/>
                <w:b/>
                <w:bCs/>
                <w:kern w:val="0"/>
                <w:sz w:val="18"/>
                <w:szCs w:val="18"/>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税金</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12</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宋体" w:hAnsi="宋体" w:cs="宋体"/>
                <w:b/>
                <w:bCs/>
                <w:kern w:val="0"/>
                <w:sz w:val="18"/>
                <w:szCs w:val="18"/>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95" w:type="dxa"/>
            <w:tcBorders>
              <w:top w:val="single" w:color="auto" w:sz="4" w:space="0"/>
              <w:left w:val="single" w:color="auto" w:sz="4" w:space="0"/>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总计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bookmarkStart w:id="2" w:name="_GoBack"/>
      <w:bookmarkEnd w:id="2"/>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b w:val="0"/>
          <w:bCs/>
          <w:color w:val="000000"/>
          <w:sz w:val="24"/>
          <w:szCs w:val="24"/>
          <w:u w:val="single"/>
          <w:lang w:eastAsia="zh-CN"/>
        </w:rPr>
        <w:t>淮南八佰伴</w:t>
      </w:r>
      <w:r>
        <w:rPr>
          <w:rFonts w:hint="eastAsia" w:ascii="宋体" w:hAnsi="宋体"/>
          <w:b w:val="0"/>
          <w:bCs/>
          <w:color w:val="000000"/>
          <w:sz w:val="24"/>
          <w:szCs w:val="24"/>
          <w:u w:val="single"/>
          <w:lang w:val="en-US" w:eastAsia="zh-CN"/>
        </w:rPr>
        <w:t>1#2#配电房检测试验项目</w:t>
      </w:r>
      <w:r>
        <w:rPr>
          <w:rFonts w:hint="eastAsia" w:ascii="宋体" w:hAnsi="宋体"/>
          <w:color w:val="000000"/>
          <w:sz w:val="24"/>
        </w:rPr>
        <w:t>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4</w:t>
      </w:r>
      <w:r>
        <w:rPr>
          <w:rFonts w:hint="eastAsia" w:ascii="宋体" w:hAnsi="宋体"/>
          <w:color w:val="000000"/>
          <w:sz w:val="24"/>
        </w:rPr>
        <w:t>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YzRiMTYyOWQwY2Q0OTQ1NjNkOGEwZGNlMGZkNDU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751A18"/>
    <w:rsid w:val="0A9E1674"/>
    <w:rsid w:val="0AC77248"/>
    <w:rsid w:val="0CA5180B"/>
    <w:rsid w:val="0DF64655"/>
    <w:rsid w:val="0F8208B5"/>
    <w:rsid w:val="10B224D2"/>
    <w:rsid w:val="112846C3"/>
    <w:rsid w:val="145973F2"/>
    <w:rsid w:val="15A3050E"/>
    <w:rsid w:val="15C475FA"/>
    <w:rsid w:val="185069AC"/>
    <w:rsid w:val="1F35211F"/>
    <w:rsid w:val="21E92AAC"/>
    <w:rsid w:val="2226123D"/>
    <w:rsid w:val="24291290"/>
    <w:rsid w:val="24764951"/>
    <w:rsid w:val="250E2C48"/>
    <w:rsid w:val="2A2E280A"/>
    <w:rsid w:val="2B470F10"/>
    <w:rsid w:val="36250AA4"/>
    <w:rsid w:val="3AC72686"/>
    <w:rsid w:val="3CA2562E"/>
    <w:rsid w:val="3F015AEC"/>
    <w:rsid w:val="4207659D"/>
    <w:rsid w:val="46BA5D22"/>
    <w:rsid w:val="48A875A6"/>
    <w:rsid w:val="55684751"/>
    <w:rsid w:val="56515E9D"/>
    <w:rsid w:val="58263BD4"/>
    <w:rsid w:val="5B145297"/>
    <w:rsid w:val="5CE15D1D"/>
    <w:rsid w:val="62A74358"/>
    <w:rsid w:val="69BE142D"/>
    <w:rsid w:val="6C227C27"/>
    <w:rsid w:val="76CA6DE4"/>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autoRedefine/>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3">
    <w:name w:val="Body Text"/>
    <w:basedOn w:val="1"/>
    <w:autoRedefine/>
    <w:qFormat/>
    <w:uiPriority w:val="0"/>
    <w:pPr>
      <w:spacing w:line="0" w:lineRule="atLeast"/>
    </w:pPr>
    <w:rPr>
      <w:sz w:val="30"/>
      <w:szCs w:val="20"/>
    </w:rPr>
  </w:style>
  <w:style w:type="paragraph" w:styleId="14">
    <w:name w:val="Body Text Indent"/>
    <w:basedOn w:val="1"/>
    <w:autoRedefine/>
    <w:qFormat/>
    <w:uiPriority w:val="0"/>
    <w:pPr>
      <w:ind w:firstLine="560" w:firstLineChars="200"/>
    </w:pPr>
    <w:rPr>
      <w:sz w:val="28"/>
    </w:rPr>
  </w:style>
  <w:style w:type="paragraph" w:styleId="15">
    <w:name w:val="Block Text"/>
    <w:basedOn w:val="1"/>
    <w:autoRedefine/>
    <w:qFormat/>
    <w:uiPriority w:val="0"/>
    <w:pPr>
      <w:adjustRightInd w:val="0"/>
      <w:ind w:left="420" w:right="33"/>
      <w:jc w:val="left"/>
      <w:textAlignment w:val="baseline"/>
    </w:pPr>
    <w:rPr>
      <w:kern w:val="0"/>
      <w:sz w:val="24"/>
      <w:szCs w:val="20"/>
    </w:rPr>
  </w:style>
  <w:style w:type="paragraph" w:styleId="16">
    <w:name w:val="toc 3"/>
    <w:basedOn w:val="1"/>
    <w:next w:val="1"/>
    <w:autoRedefine/>
    <w:semiHidden/>
    <w:qFormat/>
    <w:uiPriority w:val="0"/>
    <w:pPr>
      <w:widowControl/>
      <w:ind w:left="400" w:right="255"/>
    </w:pPr>
    <w:rPr>
      <w:kern w:val="0"/>
      <w:sz w:val="24"/>
      <w:szCs w:val="20"/>
    </w:r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napToGrid w:val="0"/>
      <w:spacing w:line="402" w:lineRule="atLeast"/>
      <w:ind w:firstLine="476"/>
    </w:pPr>
    <w:rPr>
      <w:rFonts w:ascii="宋体" w:hAnsi="宋体"/>
      <w:sz w:val="28"/>
    </w:rPr>
  </w:style>
  <w:style w:type="paragraph" w:styleId="20">
    <w:name w:val="Balloon Text"/>
    <w:basedOn w:val="1"/>
    <w:autoRedefine/>
    <w:semiHidden/>
    <w:qFormat/>
    <w:uiPriority w:val="0"/>
    <w:rPr>
      <w:sz w:val="18"/>
      <w:szCs w:val="18"/>
    </w:rPr>
  </w:style>
  <w:style w:type="paragraph" w:styleId="21">
    <w:name w:val="footer"/>
    <w:basedOn w:val="1"/>
    <w:autoRedefine/>
    <w:qFormat/>
    <w:uiPriority w:val="0"/>
    <w:pPr>
      <w:widowControl/>
      <w:tabs>
        <w:tab w:val="center" w:pos="4153"/>
        <w:tab w:val="right" w:pos="8306"/>
      </w:tabs>
      <w:snapToGrid w:val="0"/>
      <w:jc w:val="left"/>
    </w:pPr>
    <w:rPr>
      <w:kern w:val="0"/>
      <w:sz w:val="18"/>
      <w:szCs w:val="20"/>
    </w:rPr>
  </w:style>
  <w:style w:type="paragraph" w:styleId="22">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autoRedefine/>
    <w:semiHidden/>
    <w:qFormat/>
    <w:uiPriority w:val="0"/>
    <w:pPr>
      <w:widowControl/>
      <w:ind w:left="600"/>
      <w:jc w:val="left"/>
    </w:pPr>
    <w:rPr>
      <w:kern w:val="0"/>
      <w:sz w:val="20"/>
      <w:szCs w:val="21"/>
    </w:rPr>
  </w:style>
  <w:style w:type="paragraph" w:styleId="24">
    <w:name w:val="Body Text Indent 3"/>
    <w:basedOn w:val="1"/>
    <w:autoRedefine/>
    <w:qFormat/>
    <w:uiPriority w:val="0"/>
    <w:pPr>
      <w:spacing w:after="120"/>
      <w:ind w:left="420" w:leftChars="200"/>
    </w:pPr>
    <w:rPr>
      <w:sz w:val="16"/>
      <w:szCs w:val="16"/>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character" w:customStyle="1" w:styleId="32">
    <w:name w:val="Para head"/>
    <w:basedOn w:val="28"/>
    <w:autoRedefine/>
    <w:qFormat/>
    <w:uiPriority w:val="0"/>
    <w:rPr>
      <w:rFonts w:ascii="Arial" w:hAnsi="Arial" w:eastAsia="Times New Roman"/>
      <w:sz w:val="20"/>
    </w:rPr>
  </w:style>
  <w:style w:type="character" w:customStyle="1" w:styleId="33">
    <w:name w:val="bigfont1"/>
    <w:basedOn w:val="28"/>
    <w:autoRedefine/>
    <w:qFormat/>
    <w:uiPriority w:val="0"/>
    <w:rPr>
      <w:rFonts w:hint="default"/>
      <w:color w:val="000000"/>
      <w:sz w:val="24"/>
      <w:szCs w:val="24"/>
      <w:u w:val="none"/>
    </w:rPr>
  </w:style>
  <w:style w:type="paragraph" w:customStyle="1" w:styleId="3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autoRedefine/>
    <w:qFormat/>
    <w:uiPriority w:val="0"/>
    <w:rPr>
      <w:rFonts w:ascii="黑体" w:hAnsi="宋体" w:eastAsia="黑体"/>
      <w:b w:val="0"/>
      <w:sz w:val="52"/>
    </w:rPr>
  </w:style>
  <w:style w:type="paragraph" w:customStyle="1" w:styleId="37">
    <w:name w:val="菲页(卷)"/>
    <w:basedOn w:val="2"/>
    <w:next w:val="38"/>
    <w:autoRedefine/>
    <w:qFormat/>
    <w:uiPriority w:val="0"/>
    <w:pPr>
      <w:outlineLvl w:val="1"/>
    </w:pPr>
  </w:style>
  <w:style w:type="paragraph" w:customStyle="1" w:styleId="3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autoRedefine/>
    <w:qFormat/>
    <w:uiPriority w:val="0"/>
    <w:pPr>
      <w:widowControl/>
      <w:jc w:val="center"/>
    </w:pPr>
    <w:rPr>
      <w:rFonts w:ascii="宋体"/>
      <w:b/>
      <w:kern w:val="0"/>
      <w:sz w:val="36"/>
      <w:szCs w:val="20"/>
    </w:rPr>
  </w:style>
  <w:style w:type="paragraph" w:customStyle="1" w:styleId="40">
    <w:name w:val="Char1 Char Char Char Char Char Char"/>
    <w:basedOn w:val="1"/>
    <w:autoRedefine/>
    <w:semiHidden/>
    <w:qFormat/>
    <w:uiPriority w:val="0"/>
    <w:pPr>
      <w:ind w:firstLine="200" w:firstLineChars="200"/>
      <w:jc w:val="left"/>
    </w:pPr>
    <w:rPr>
      <w:rFonts w:ascii="Tahoma" w:hAnsi="Tahoma"/>
      <w:sz w:val="24"/>
    </w:rPr>
  </w:style>
  <w:style w:type="paragraph" w:customStyle="1" w:styleId="41">
    <w:name w:val="Char"/>
    <w:basedOn w:val="1"/>
    <w:autoRedefine/>
    <w:qFormat/>
    <w:uiPriority w:val="0"/>
    <w:rPr>
      <w:rFonts w:ascii="仿宋_GB2312" w:eastAsia="仿宋_GB2312"/>
      <w:b/>
      <w:sz w:val="32"/>
      <w:szCs w:val="32"/>
    </w:rPr>
  </w:style>
  <w:style w:type="paragraph" w:customStyle="1" w:styleId="42">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43">
    <w:name w:val="样式1"/>
    <w:basedOn w:val="1"/>
    <w:autoRedefine/>
    <w:qFormat/>
    <w:uiPriority w:val="0"/>
    <w:pPr>
      <w:spacing w:before="120" w:after="120" w:line="300" w:lineRule="auto"/>
    </w:pPr>
    <w:rPr>
      <w:rFonts w:ascii="宋体" w:hAnsi="宋体"/>
      <w:b/>
      <w:sz w:val="24"/>
      <w:szCs w:val="20"/>
    </w:rPr>
  </w:style>
  <w:style w:type="paragraph" w:customStyle="1" w:styleId="44">
    <w:name w:val="菲页2"/>
    <w:basedOn w:val="5"/>
    <w:autoRedefine/>
    <w:qFormat/>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4999</Words>
  <Characters>5204</Characters>
  <Lines>62</Lines>
  <Paragraphs>17</Paragraphs>
  <TotalTime>14</TotalTime>
  <ScaleCrop>false</ScaleCrop>
  <LinksUpToDate>false</LinksUpToDate>
  <CharactersWithSpaces>7723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鲍利</cp:lastModifiedBy>
  <cp:lastPrinted>2010-04-28T08:42:00Z</cp:lastPrinted>
  <dcterms:modified xsi:type="dcterms:W3CDTF">2024-03-15T06:31:34Z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ED8592C57AF948F78F7FE65EB9D90131</vt:lpwstr>
  </property>
</Properties>
</file>