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eastAsia="zh-CN"/>
        </w:rPr>
        <w:t>八佰伴中心</w:t>
      </w:r>
      <w:r>
        <w:rPr>
          <w:rFonts w:hint="eastAsia"/>
          <w:b/>
          <w:bCs/>
          <w:sz w:val="44"/>
          <w:szCs w:val="52"/>
          <w:lang w:val="en-US" w:eastAsia="zh-CN"/>
        </w:rPr>
        <w:t>S4货梯维修</w:t>
      </w:r>
    </w:p>
    <w:p>
      <w:pPr>
        <w:jc w:val="center"/>
        <w:rPr>
          <w:rFonts w:hint="eastAsia"/>
          <w:b/>
          <w:bCs/>
          <w:sz w:val="44"/>
          <w:szCs w:val="52"/>
          <w:lang w:eastAsia="zh-CN"/>
        </w:rPr>
      </w:pPr>
      <w:r>
        <w:rPr>
          <w:rFonts w:hint="eastAsia"/>
          <w:b/>
          <w:bCs/>
          <w:sz w:val="44"/>
          <w:szCs w:val="52"/>
          <w:lang w:eastAsia="zh-CN"/>
        </w:rPr>
        <w:t>招标文件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内容：S4货梯对重反绳轮与轿厢反绳轮（两个）有异响，经现场查看，拟定两个维修方案：</w:t>
      </w:r>
    </w:p>
    <w:tbl>
      <w:tblPr>
        <w:tblW w:w="97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1"/>
        <w:gridCol w:w="1725"/>
        <w:gridCol w:w="1500"/>
        <w:gridCol w:w="1290"/>
        <w:gridCol w:w="982"/>
        <w:gridCol w:w="10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方案1（更换轴承与镶套）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型号规格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计算单位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3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更换对重反绳轮轴承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SKF6214-2Z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3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更换对重反绳轮镶套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国标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3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更换轿顶反绳轮轴承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SKF6214-2Z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更换对重反绳轮轴承人工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更换对重反绳轮镶套人工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更换轿顶反绳轮轴承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人工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3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含税（%）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97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备注：</w:t>
            </w:r>
          </w:p>
        </w:tc>
      </w:tr>
    </w:tbl>
    <w:p>
      <w:p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</w:p>
    <w:tbl>
      <w:tblPr>
        <w:tblStyle w:val="2"/>
        <w:tblW w:w="97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1"/>
        <w:gridCol w:w="1725"/>
        <w:gridCol w:w="1500"/>
        <w:gridCol w:w="1290"/>
        <w:gridCol w:w="982"/>
        <w:gridCol w:w="10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方案2（更换整套反绳轮）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型号规格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计算单位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3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更换对重反绳轮（整套）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A599020064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3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更换轿顶反绳轮（整套）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A711011399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更换对重反绳轮人工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更换轿顶反绳轮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3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含税（%）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97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备注：</w:t>
            </w:r>
          </w:p>
        </w:tc>
      </w:tr>
    </w:tbl>
    <w:p>
      <w:p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合作方式：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按实际工程量结算。</w:t>
      </w:r>
    </w:p>
    <w:p>
      <w:p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支付方式：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完工后支付90%，10%质保金，质保期两年。</w:t>
      </w:r>
    </w:p>
    <w:p>
      <w:pPr>
        <w:numPr>
          <w:numId w:val="0"/>
        </w:numPr>
        <w:jc w:val="left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维修要求：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电梯维修后，运行平稳无异响。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修完后轿顶、底坑卫生干净。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备注：标书送达后，甲方对合格的投标人的以下内容进行综合分析和比较：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（1）最终报价；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（2）评标严格按照招标文件的要求和条件比较价格；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（3）设计方案先进、合理；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（4）产品的性能及标准；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（5）产品的先进性、可靠性；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（6）产品的寿命、经营成本；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（7）售后服务承诺、维修成本；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（8）交货时间、安装竣工时间；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（9）有执行合同能力；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（10）其它条件。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将采用“综合实力最强”，能够最大限度满足招标人要求，并对各合格投标人进行评审，确定中标人。</w:t>
      </w:r>
    </w:p>
    <w:p>
      <w:pPr>
        <w:jc w:val="left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确定中标人后，由招标人向中标人签发《中标通知书》。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F6D1B0"/>
    <w:multiLevelType w:val="singleLevel"/>
    <w:tmpl w:val="D7F6D1B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iYzczOWE3MmFkOWZmMWQ2ZTQ2YTA4NGYwNWI0YTYifQ=="/>
  </w:docVars>
  <w:rsids>
    <w:rsidRoot w:val="00000000"/>
    <w:rsid w:val="38571414"/>
    <w:rsid w:val="47156275"/>
    <w:rsid w:val="6404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52</Characters>
  <Lines>0</Lines>
  <Paragraphs>0</Paragraphs>
  <TotalTime>8</TotalTime>
  <ScaleCrop>false</ScaleCrop>
  <LinksUpToDate>false</LinksUpToDate>
  <CharactersWithSpaces>54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2022-11-14T07:48:00Z</dcterms:created>
  <dc:creator>Administrator</dc:creator>
  <cp:lastModifiedBy>杰の千喜龙</cp:lastModifiedBy>
  <dcterms:modified xsi:type="dcterms:W3CDTF">2022-11-14T11:01:35Z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080998FD07E148BF8C3AF6CC3A3AB221</vt:lpwstr>
  </property>
</Properties>
</file>